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D7A53" w14:textId="77777777" w:rsid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42E0B">
        <w:rPr>
          <w:rFonts w:ascii="Times New Roman" w:hAnsi="Times New Roman" w:cs="Times New Roman"/>
          <w:bCs/>
        </w:rPr>
        <w:t>Załącznik B.56.</w:t>
      </w:r>
    </w:p>
    <w:p w14:paraId="58AAB11F" w14:textId="77777777" w:rsidR="00C42E0B" w:rsidRP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2759CC8D" w14:textId="77777777" w:rsidR="00491560" w:rsidRPr="00491560" w:rsidRDefault="00491560" w:rsidP="001C15A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91560">
        <w:rPr>
          <w:rFonts w:ascii="Times New Roman" w:eastAsia="Times New Roman" w:hAnsi="Times New Roman" w:cs="Times New Roman"/>
          <w:b/>
          <w:bCs/>
          <w:sz w:val="28"/>
          <w:szCs w:val="20"/>
        </w:rPr>
        <w:t>LECZENIE OPORNEGO NA KASTRACJĘ RAKA GRUCZOŁU KROKOWEGO  (ICD-10  C61)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5"/>
        <w:gridCol w:w="3298"/>
        <w:gridCol w:w="4215"/>
      </w:tblGrid>
      <w:tr w:rsidR="00491560" w:rsidRPr="005D2A3D" w14:paraId="66117AA1" w14:textId="77777777" w:rsidTr="00A067A1">
        <w:trPr>
          <w:trHeight w:val="48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1258" w14:textId="77777777" w:rsidR="00491560" w:rsidRPr="005D2A3D" w:rsidRDefault="00491560" w:rsidP="00CD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491560" w:rsidRPr="005D2A3D" w14:paraId="1D6B97B7" w14:textId="77777777" w:rsidTr="00A067A1">
        <w:trPr>
          <w:trHeight w:val="703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6953" w14:textId="77777777" w:rsidR="00491560" w:rsidRPr="005D2A3D" w:rsidRDefault="00491560" w:rsidP="00BF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7224" w14:textId="77777777" w:rsidR="00491560" w:rsidRPr="000968B7" w:rsidRDefault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 DAWKOWANIA LEKU W PROGRAMIE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9284" w14:textId="77777777" w:rsidR="00491560" w:rsidRPr="005D2A3D" w:rsidRDefault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DIAGNOSTYCZNE WYKONYWANE W</w:t>
            </w:r>
            <w:r w:rsidR="009539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 PROGRAMU</w:t>
            </w:r>
          </w:p>
        </w:tc>
      </w:tr>
      <w:tr w:rsidR="00491560" w:rsidRPr="005D2A3D" w14:paraId="62C211F3" w14:textId="77777777" w:rsidTr="00A067A1"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FF14" w14:textId="77777777" w:rsidR="00491560" w:rsidRPr="000968B7" w:rsidRDefault="00491560" w:rsidP="00B47A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 przed stosowaniem chemioterapii</w:t>
            </w:r>
          </w:p>
          <w:p w14:paraId="1EF17391" w14:textId="77777777" w:rsidR="00491560" w:rsidRPr="000968B7" w:rsidRDefault="00491560" w:rsidP="00B47AD3">
            <w:pPr>
              <w:widowControl w:val="0"/>
              <w:numPr>
                <w:ilvl w:val="1"/>
                <w:numId w:val="1"/>
              </w:numPr>
              <w:spacing w:before="120" w:after="120" w:line="240" w:lineRule="auto"/>
              <w:ind w:left="313" w:right="8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 kwalifikacji</w:t>
            </w:r>
          </w:p>
          <w:p w14:paraId="2FEB383A" w14:textId="77777777" w:rsidR="00491560" w:rsidRPr="005D2A3D" w:rsidRDefault="00491560" w:rsidP="00B47AD3">
            <w:pPr>
              <w:widowControl w:val="0"/>
              <w:spacing w:after="120" w:line="240" w:lineRule="auto"/>
              <w:ind w:left="313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leczenia octanem abirateronu w ramach programu kwalifikują się chorzy na raka gruczołu krokowego z przerzutami spełniający poniższe kryteria:</w:t>
            </w:r>
          </w:p>
          <w:p w14:paraId="6DD8C589" w14:textId="77777777" w:rsidR="00491560" w:rsidRPr="005D2A3D" w:rsidRDefault="005D2A3D" w:rsidP="00B47AD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histologiczne rozpoznanie raka gruczołowego stercza;</w:t>
            </w:r>
          </w:p>
          <w:p w14:paraId="301F0903" w14:textId="77777777" w:rsidR="00491560" w:rsidRPr="005D2A3D" w:rsidRDefault="005D2A3D" w:rsidP="00B47AD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zastosowanie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chemioterapii nie jest jeszcze wskazane klinicznie;</w:t>
            </w:r>
          </w:p>
          <w:p w14:paraId="31A995D4" w14:textId="77777777" w:rsidR="00491560" w:rsidRPr="000968B7" w:rsidRDefault="005D2A3D" w:rsidP="00B47AD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sta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dium oporności na kastrację, określone na podstawie oznaczenia stężenia testosteronu w surowicy wynoszącego 50 ng/dl lub mniej (tj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.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wynoszącego 1,7 nmol/l lub mniej), u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 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chorych z progresją choroby ocenioną wg kryteriów w pkt 4);</w:t>
            </w:r>
          </w:p>
          <w:p w14:paraId="51E5A268" w14:textId="77777777" w:rsidR="00491560" w:rsidRPr="000968B7" w:rsidRDefault="005D2A3D" w:rsidP="00B47AD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8B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0968B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określona na podstawie:</w:t>
            </w:r>
          </w:p>
          <w:p w14:paraId="7194590E" w14:textId="77777777" w:rsidR="00491560" w:rsidRPr="005D2A3D" w:rsidRDefault="00491560" w:rsidP="00B47AD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021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trzech kolejnych wzrostów stężenia PSA, oznaczonego w co najmniej tygodniowych odstępach, </w:t>
            </w:r>
            <w:r w:rsidRPr="005D2A3D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z</w:t>
            </w:r>
            <w:r w:rsidRPr="005D2A3D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udowodnionymi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dwoma wzrostami o 50% wobec wartości wyjściowej (nadir), przy nominalnej wartości stężenia PSA &gt;2 ng/ml</w:t>
            </w:r>
          </w:p>
          <w:p w14:paraId="63294FCA" w14:textId="77777777" w:rsidR="00491560" w:rsidRPr="005D2A3D" w:rsidRDefault="00491560" w:rsidP="00B47AD3">
            <w:pPr>
              <w:widowControl w:val="0"/>
              <w:spacing w:after="0" w:line="240" w:lineRule="auto"/>
              <w:ind w:left="1021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42E6F331" w14:textId="77777777" w:rsidR="00491560" w:rsidRPr="005D2A3D" w:rsidRDefault="00491560" w:rsidP="00B47AD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021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wystąpienia objawów progresji zmian (układ kostny, narządy wewnętrzne, tkanki miękkie) w badaniach obrazowych;</w:t>
            </w:r>
          </w:p>
          <w:p w14:paraId="310C6D7A" w14:textId="77777777" w:rsidR="00491560" w:rsidRPr="005D2A3D" w:rsidRDefault="000968B7" w:rsidP="00B47AD3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topień złośliwości wg sumy Gleasona </w:t>
            </w:r>
            <w:r w:rsidR="00491560" w:rsidRPr="005D2A3D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&lt;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8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określony na podstawie badania histopatologicznego;</w:t>
            </w:r>
          </w:p>
          <w:p w14:paraId="44D0B085" w14:textId="77777777" w:rsidR="00491560" w:rsidRPr="005D2A3D" w:rsidRDefault="000968B7" w:rsidP="00B47AD3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ieleczenie opioidami z powodu objawów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 gruczołu krokowego (dopuszczalne jest stosowanie opioidów w przeszłości);</w:t>
            </w:r>
          </w:p>
          <w:p w14:paraId="1510B7EF" w14:textId="77777777" w:rsidR="00491560" w:rsidRPr="005D2A3D" w:rsidRDefault="000968B7" w:rsidP="00B47AD3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tan sprawności 0 według klasyfikacji WHO;</w:t>
            </w:r>
          </w:p>
          <w:p w14:paraId="3D6D0897" w14:textId="77777777" w:rsidR="00491560" w:rsidRPr="005D2A3D" w:rsidRDefault="000968B7" w:rsidP="00B47AD3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iek powyżej 18. roku życia.</w:t>
            </w:r>
          </w:p>
          <w:p w14:paraId="1AEF6E9C" w14:textId="77777777" w:rsidR="00491560" w:rsidRPr="005D2A3D" w:rsidRDefault="00491560" w:rsidP="00B47AD3">
            <w:pPr>
              <w:widowControl w:val="0"/>
              <w:tabs>
                <w:tab w:val="left" w:pos="808"/>
              </w:tabs>
              <w:spacing w:before="120" w:after="0" w:line="240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Kryteria kwalifikacji muszą być spełnione łącznie.</w:t>
            </w:r>
          </w:p>
          <w:p w14:paraId="6E7323C5" w14:textId="77777777" w:rsidR="00491560" w:rsidRPr="005D2A3D" w:rsidRDefault="00491560" w:rsidP="00B47AD3">
            <w:pPr>
              <w:widowControl w:val="0"/>
              <w:numPr>
                <w:ilvl w:val="1"/>
                <w:numId w:val="1"/>
              </w:numPr>
              <w:tabs>
                <w:tab w:val="left" w:pos="808"/>
              </w:tabs>
              <w:spacing w:before="120" w:after="120" w:line="240" w:lineRule="auto"/>
              <w:ind w:left="313"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Określenie czasu leczenia w programie</w:t>
            </w:r>
          </w:p>
          <w:p w14:paraId="5230393F" w14:textId="77777777" w:rsidR="00491560" w:rsidRPr="005D2A3D" w:rsidRDefault="00491560" w:rsidP="00B47A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Leczenie trwa do czasu podjęcia przez lekarza prowadzącego decyzji o wyłączeniu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lastRenderedPageBreak/>
              <w:t>świadczeniobiorcy z programu, zgodnie z kryteriami wyłączenia z programu.</w:t>
            </w:r>
          </w:p>
          <w:p w14:paraId="1F110952" w14:textId="77777777" w:rsidR="00491560" w:rsidRPr="005D2A3D" w:rsidRDefault="00491560" w:rsidP="00B47AD3">
            <w:pPr>
              <w:widowControl w:val="0"/>
              <w:numPr>
                <w:ilvl w:val="1"/>
                <w:numId w:val="1"/>
              </w:numPr>
              <w:spacing w:before="120" w:after="120" w:line="240" w:lineRule="auto"/>
              <w:ind w:left="313"/>
              <w:jc w:val="both"/>
              <w:rPr>
                <w:rFonts w:ascii="Times New Roman" w:eastAsia="Calibri" w:hAnsi="Times New Roman" w:cs="Times New Roman"/>
                <w:b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 xml:space="preserve"> Kryteria uniemożliwiające włączenie do programu</w:t>
            </w:r>
          </w:p>
          <w:p w14:paraId="6B9F43B0" w14:textId="77777777" w:rsidR="00491560" w:rsidRPr="00BF25A1" w:rsidRDefault="000968B7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adwrażliwość na substancję czynną lub którąkolwiek substancję pomocniczą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57F499EB" w14:textId="77777777" w:rsidR="00491560" w:rsidRPr="005D2A3D" w:rsidRDefault="000968B7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u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miarkowane lub ciężkie zaburzenia czynności wątroby (Klasa B lub C wg Child-Pugh);</w:t>
            </w:r>
          </w:p>
          <w:p w14:paraId="5DC1A443" w14:textId="77777777" w:rsidR="000968B7" w:rsidRPr="00243D79" w:rsidRDefault="000968B7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ktywność aminotransferaz równa lub przekraczająca 2,5-krotną wartość górnego zakresu normy; </w:t>
            </w:r>
          </w:p>
          <w:p w14:paraId="68C77AA6" w14:textId="77777777" w:rsidR="00491560" w:rsidRPr="00BF25A1" w:rsidRDefault="00491560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stężenie potasu poniżej dolnej granicy normy;</w:t>
            </w:r>
          </w:p>
          <w:p w14:paraId="47B92A1D" w14:textId="77777777" w:rsidR="00491560" w:rsidRPr="00BF25A1" w:rsidRDefault="000968B7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</w:t>
            </w:r>
            <w:r w:rsidR="00491560" w:rsidRPr="00F02EB5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cześniejsze stosowanie ketokonazolu z powodu raka </w:t>
            </w:r>
            <w:r w:rsidR="00491560"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gruczołu</w:t>
            </w:r>
            <w:r w:rsidR="00491560" w:rsidRPr="000968B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 xml:space="preserve"> </w:t>
            </w:r>
            <w:r w:rsidR="00491560" w:rsidRPr="000968B7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krokowego powyżej 7 dni;</w:t>
            </w:r>
          </w:p>
          <w:p w14:paraId="25918563" w14:textId="77777777" w:rsidR="00B53AA1" w:rsidRPr="00243D79" w:rsidRDefault="000968B7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</w:t>
            </w:r>
            <w:r w:rsidR="00491560"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iekontrolowane choroby układu sercowo-naczyniowego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5AB6DB30" w14:textId="77777777" w:rsidR="00491560" w:rsidRPr="00BF25A1" w:rsidRDefault="00491560" w:rsidP="00B47AD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niekontrolowane nadciśnienie tętnicze;</w:t>
            </w:r>
          </w:p>
          <w:p w14:paraId="3403B16E" w14:textId="77777777" w:rsidR="00491560" w:rsidRPr="005D2A3D" w:rsidRDefault="000968B7" w:rsidP="00B47AD3">
            <w:pPr>
              <w:widowControl w:val="0"/>
              <w:numPr>
                <w:ilvl w:val="0"/>
                <w:numId w:val="4"/>
              </w:numPr>
              <w:spacing w:after="120" w:line="240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r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ozpoznanie drobnokomórkowego raka stercza.</w:t>
            </w:r>
          </w:p>
          <w:p w14:paraId="0CBA9F82" w14:textId="77777777" w:rsidR="00491560" w:rsidRPr="005D2A3D" w:rsidRDefault="00491560" w:rsidP="00B47AD3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313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</w:t>
            </w: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>Kryteria wyłączenia z programu</w:t>
            </w:r>
          </w:p>
          <w:p w14:paraId="6E85E9D5" w14:textId="77777777" w:rsidR="00491560" w:rsidRPr="00BF25A1" w:rsidRDefault="00B53AA1" w:rsidP="00B47AD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171" w:right="200" w:firstLine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ystąpienie objawów nadwrażliwości na octan abirateronu lub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którąkolwiek substancję pomocniczą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226885A5" w14:textId="77777777" w:rsidR="00491560" w:rsidRPr="005D2A3D" w:rsidRDefault="00B53AA1" w:rsidP="00B47AD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171" w:right="200" w:firstLine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w trakcie stosowania leku, definiowana według następujących kryteriów:</w:t>
            </w:r>
          </w:p>
          <w:p w14:paraId="1EDBC8C2" w14:textId="77777777" w:rsidR="00491560" w:rsidRPr="005D2A3D" w:rsidRDefault="006A73A6" w:rsidP="00B47AD3">
            <w:pPr>
              <w:widowControl w:val="0"/>
              <w:numPr>
                <w:ilvl w:val="0"/>
                <w:numId w:val="6"/>
              </w:numPr>
              <w:tabs>
                <w:tab w:val="left" w:pos="875"/>
              </w:tabs>
              <w:spacing w:after="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ystąpienie łącznie przynajmniej 2 z 3 następujących rodzajów progresji:</w:t>
            </w:r>
          </w:p>
          <w:p w14:paraId="70B18EB1" w14:textId="77777777" w:rsidR="00491560" w:rsidRPr="005D2A3D" w:rsidRDefault="00491560" w:rsidP="00B47AD3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1021" w:right="200" w:hanging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sz w:val="20"/>
                <w:szCs w:val="20"/>
              </w:rPr>
              <w:t>progresja kliniczna:</w:t>
            </w:r>
          </w:p>
          <w:p w14:paraId="66BC22CC" w14:textId="77777777" w:rsidR="007D6E02" w:rsidRDefault="00491560" w:rsidP="00B47AD3">
            <w:pPr>
              <w:widowControl w:val="0"/>
              <w:tabs>
                <w:tab w:val="left" w:pos="875"/>
              </w:tabs>
              <w:spacing w:after="0" w:line="240" w:lineRule="auto"/>
              <w:ind w:left="1175" w:right="200" w:hanging="1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- progresja bólu określona jako włączenie nowego opioidu na dłużej niż 2 tygodnie (nie dotyczy przypadków, gdy włączenie nowego opioidowego leku przeciwbólowego nastąpiło z powodu działań niepożądanych wywołanych przez lek dotychczas stosowany) </w:t>
            </w:r>
          </w:p>
          <w:p w14:paraId="5A8FC7BF" w14:textId="77777777" w:rsidR="00491560" w:rsidRPr="00BF25A1" w:rsidRDefault="00491560" w:rsidP="00B47AD3">
            <w:pPr>
              <w:widowControl w:val="0"/>
              <w:tabs>
                <w:tab w:val="left" w:pos="875"/>
              </w:tabs>
              <w:spacing w:after="0" w:line="240" w:lineRule="auto"/>
              <w:ind w:left="1175" w:right="200" w:hanging="1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58EEC9D8" w14:textId="77777777" w:rsidR="007D6E02" w:rsidRDefault="00491560" w:rsidP="00B47AD3">
            <w:pPr>
              <w:widowControl w:val="0"/>
              <w:spacing w:after="0" w:line="240" w:lineRule="auto"/>
              <w:ind w:left="1175" w:right="300" w:hanging="1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- wystąpienie SRE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(skeletal related events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– zdarzeń kostnych) </w:t>
            </w:r>
          </w:p>
          <w:p w14:paraId="5BC24D0B" w14:textId="77777777" w:rsidR="00491560" w:rsidRPr="00BF25A1" w:rsidRDefault="00491560" w:rsidP="00B47AD3">
            <w:pPr>
              <w:widowControl w:val="0"/>
              <w:spacing w:after="0" w:line="240" w:lineRule="auto"/>
              <w:ind w:left="1175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48127636" w14:textId="77777777" w:rsidR="00491560" w:rsidRPr="00BF25A1" w:rsidRDefault="00491560" w:rsidP="00B47AD3">
            <w:pPr>
              <w:widowControl w:val="0"/>
              <w:spacing w:after="0" w:line="240" w:lineRule="auto"/>
              <w:ind w:left="1175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 pogorszenie sprawności pacjenta (</w:t>
            </w:r>
            <w:r w:rsidRPr="00F02EB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wg 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WHO)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co najmniej stopnia 2, utrzymujące się min. 2 tygodnie</w:t>
            </w:r>
            <w:r w:rsid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</w:p>
          <w:p w14:paraId="074DDFF2" w14:textId="77777777" w:rsidR="00491560" w:rsidRPr="00BF25A1" w:rsidRDefault="00491560" w:rsidP="00B47AD3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1021" w:right="180" w:hanging="4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PSA określona jako trzy kolejne wzrosty PSA, oznaczone w co najmniej tygodniowych odstępach, z udowodnionymi wzrostami o</w:t>
            </w:r>
            <w:r w:rsidRP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co najmniej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wobec wartości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przy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wartości stężenia PSA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</w:t>
            </w:r>
            <w:r w:rsidR="006A73A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,</w:t>
            </w:r>
          </w:p>
          <w:p w14:paraId="5194F0B9" w14:textId="77777777" w:rsidR="00491560" w:rsidRPr="00BF25A1" w:rsidRDefault="00491560" w:rsidP="00B47AD3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1021" w:right="180" w:hanging="4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radiologiczna określona jako pojawienie się co najmniej d</w:t>
            </w:r>
            <w:r w:rsidRP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wóch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nowych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ognisk, potwierdzona badaniem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obrazowym</w:t>
            </w:r>
          </w:p>
          <w:p w14:paraId="59E3D0AF" w14:textId="77777777" w:rsidR="00491560" w:rsidRPr="00BF25A1" w:rsidRDefault="00491560" w:rsidP="00B47AD3">
            <w:pPr>
              <w:widowControl w:val="0"/>
              <w:spacing w:after="0" w:line="240" w:lineRule="auto"/>
              <w:ind w:left="1021" w:right="180" w:hanging="283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</w:pP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lub</w:t>
            </w:r>
          </w:p>
          <w:p w14:paraId="13C99D7F" w14:textId="77777777" w:rsidR="00491560" w:rsidRPr="00BF25A1" w:rsidRDefault="006A73A6" w:rsidP="00B47AD3">
            <w:pPr>
              <w:widowControl w:val="0"/>
              <w:numPr>
                <w:ilvl w:val="0"/>
                <w:numId w:val="6"/>
              </w:numPr>
              <w:spacing w:after="120" w:line="240" w:lineRule="auto"/>
              <w:ind w:left="738" w:right="18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18"/>
              </w:rPr>
              <w:t>p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18"/>
              </w:rPr>
              <w:t>rogresja zgodnie z kryteriami RECIST</w:t>
            </w:r>
            <w:r w:rsidR="00A67592">
              <w:rPr>
                <w:rFonts w:ascii="Times New Roman" w:eastAsia="Calibri" w:hAnsi="Times New Roman" w:cs="Times New Roman"/>
                <w:sz w:val="20"/>
                <w:szCs w:val="18"/>
              </w:rPr>
              <w:t>;</w:t>
            </w:r>
          </w:p>
          <w:p w14:paraId="38ABD566" w14:textId="77777777" w:rsidR="00491560" w:rsidRPr="005D2A3D" w:rsidRDefault="006A73A6" w:rsidP="00B47AD3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40" w:lineRule="auto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20"/>
              </w:rPr>
              <w:t>ystąpienie działań niepożądanych uniemożliwiających kontynuację leczenia zgodnie z wytycznymi</w:t>
            </w:r>
            <w:r w:rsidR="00491560" w:rsidRPr="005D2A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zawartymi w charakterystyce produktu leczniczego;</w:t>
            </w:r>
          </w:p>
          <w:p w14:paraId="33266FBD" w14:textId="77777777" w:rsidR="00491560" w:rsidRPr="00BF25A1" w:rsidRDefault="006A73A6" w:rsidP="00B47AD3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40" w:lineRule="auto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20"/>
              </w:rPr>
              <w:t>ezygnacja świadczeniobiorcy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4997CA6" w14:textId="77777777" w:rsidR="00491560" w:rsidRPr="005D2A3D" w:rsidRDefault="00491560" w:rsidP="00B47AD3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24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</w:t>
            </w:r>
          </w:p>
          <w:p w14:paraId="6F4FE815" w14:textId="77777777" w:rsidR="00491560" w:rsidRPr="005D2A3D" w:rsidRDefault="00150FCF" w:rsidP="00B47A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2.1. </w:t>
            </w:r>
            <w:r w:rsidR="00491560"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14:paraId="67877087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leczenia octanem abirateronu w ramach programu kwalifikują się chorzy na raka gruczołu krokowego:</w:t>
            </w:r>
          </w:p>
          <w:p w14:paraId="51F4D178" w14:textId="77777777" w:rsidR="00491560" w:rsidRPr="005D2A3D" w:rsidRDefault="00612863" w:rsidP="00B47AD3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3" w:hanging="310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r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ozpoznanego histologicznie (dopuszczalne kwalifikowanie chorych, u których rozpoznanie ustalono w przeszłości cytologicznie, kiedy histologiczne badanie nie było standardem postępowania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diagnostycznego);</w:t>
            </w:r>
          </w:p>
          <w:p w14:paraId="3814CE0C" w14:textId="77777777" w:rsidR="00491560" w:rsidRPr="005D2A3D" w:rsidRDefault="00612863" w:rsidP="00B47AD3">
            <w:pPr>
              <w:numPr>
                <w:ilvl w:val="1"/>
                <w:numId w:val="9"/>
              </w:numPr>
              <w:spacing w:after="0" w:line="240" w:lineRule="auto"/>
              <w:ind w:left="313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stadium oporności na kastrację, </w:t>
            </w:r>
            <w:r w:rsidR="00491560" w:rsidRPr="00BF2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określonym na podstawie oznaczenia stężenia testosteronu w surowicy wynoszącego 50 ng/dl lub mniej (tj. wynoszącego 1,7 nmol/l lub mniej), u chorych z progresją choroby ocenioną wg kryteriów w pkt 3</w:t>
            </w:r>
            <w:r w:rsidR="00DA2F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poniżej</w:t>
            </w:r>
            <w:r w:rsidR="00491560" w:rsidRPr="00BF2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</w:t>
            </w:r>
            <w:r w:rsidR="00491560" w:rsidRPr="005D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13179F4" w14:textId="77777777" w:rsidR="00491560" w:rsidRPr="005D2A3D" w:rsidRDefault="00612863" w:rsidP="00B47AD3">
            <w:pPr>
              <w:numPr>
                <w:ilvl w:val="1"/>
                <w:numId w:val="9"/>
              </w:numPr>
              <w:spacing w:after="0" w:line="240" w:lineRule="auto"/>
              <w:ind w:left="313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progresją choroby w trakcie lub po chemioterapii z udziałem docetakselu, określoną na podstawie:</w:t>
            </w:r>
          </w:p>
          <w:p w14:paraId="32204615" w14:textId="77777777" w:rsidR="00491560" w:rsidRPr="005D2A3D" w:rsidRDefault="00491560" w:rsidP="00B47AD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ng/ml lub </w:t>
            </w:r>
          </w:p>
          <w:p w14:paraId="1B2D4F33" w14:textId="77777777" w:rsidR="00491560" w:rsidRPr="005D2A3D" w:rsidRDefault="00491560" w:rsidP="00B47AD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 objawów progresji zmian (układ kostny, narządy wewnętrzne, tkanki miękkie) w badaniach obrazowych;</w:t>
            </w:r>
          </w:p>
          <w:p w14:paraId="34441A84" w14:textId="77777777" w:rsidR="00491560" w:rsidRPr="00BF25A1" w:rsidRDefault="00612863" w:rsidP="00B47AD3">
            <w:pPr>
              <w:numPr>
                <w:ilvl w:val="1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stanie sprawności 0-1 według klasyfikacji WHO;</w:t>
            </w:r>
          </w:p>
          <w:p w14:paraId="33B9FC44" w14:textId="77777777" w:rsidR="00491560" w:rsidRPr="00BF25A1" w:rsidRDefault="00612863" w:rsidP="00B47AD3">
            <w:pPr>
              <w:numPr>
                <w:ilvl w:val="1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wieku powyżej 18. roku życia.</w:t>
            </w:r>
          </w:p>
          <w:p w14:paraId="010F8D08" w14:textId="77777777" w:rsidR="00491560" w:rsidRDefault="00491560" w:rsidP="00B47A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kwalifikacji muszą być spełnione łącznie. </w:t>
            </w:r>
          </w:p>
          <w:p w14:paraId="4CA21498" w14:textId="77777777" w:rsidR="00DD5AB4" w:rsidRPr="00F02EB5" w:rsidRDefault="00DD5AB4" w:rsidP="00B47AD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Do programu kwalifikowani są również pacjenci dotychczas leczeni z zastosowaniem octanu abirateronu w ramach świadczenia chemioterapii niestandardowej, pod warunkiem, że zostali zakwalifikowani do leczenia w ramach chemioterapii niestandardowej przed 1 stycznia 2014 r. oraz przed rozpoczęciem leczenia nie spełniali kryteriów wyłączenia z programu.</w:t>
            </w:r>
          </w:p>
          <w:p w14:paraId="00FCD6E7" w14:textId="77777777" w:rsidR="00491560" w:rsidRPr="00BF25A1" w:rsidRDefault="00491560" w:rsidP="00B47AD3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7ECD0606" w14:textId="77777777" w:rsidR="00491560" w:rsidRPr="005D2A3D" w:rsidRDefault="00491560" w:rsidP="00B47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Leczenie trwa do czasu podjęcia przez lekarza prowadzącego decyzji o wyłączeniu świadczeniobiorcy z programu, zgodnie z kryteriami wyłączenia z programu. </w:t>
            </w:r>
          </w:p>
          <w:p w14:paraId="1A6D1788" w14:textId="77777777" w:rsidR="00491560" w:rsidRPr="005D2A3D" w:rsidRDefault="00491560" w:rsidP="00B47AD3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662C8B74" w14:textId="77777777" w:rsidR="00491560" w:rsidRPr="00BF25A1" w:rsidRDefault="00BC5824" w:rsidP="00B47AD3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80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adwrażliwość na substancję czynną lub którąkolwiek substancję pomocniczą;</w:t>
            </w:r>
          </w:p>
          <w:p w14:paraId="55EED32E" w14:textId="77777777" w:rsidR="00491560" w:rsidRPr="005D2A3D" w:rsidRDefault="00BC5824" w:rsidP="00B47AD3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miarkowane lub ciężkie zaburzenia czynności wątroby (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lasa B lub C wg Child-Pugh);</w:t>
            </w:r>
          </w:p>
          <w:p w14:paraId="46287715" w14:textId="77777777" w:rsidR="00491560" w:rsidRPr="005D2A3D" w:rsidRDefault="00BC5824" w:rsidP="00B47AD3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ktywność aminotransferaz równa lub przekraczająca 2,5-krotną wartość górnego zakresu normy;</w:t>
            </w:r>
          </w:p>
          <w:p w14:paraId="196D45A3" w14:textId="77777777" w:rsidR="00491560" w:rsidRPr="00BF25A1" w:rsidRDefault="00BC5824" w:rsidP="00B47AD3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cześniejsze stosowanie ketokonazolu z powodu raka gruczołu krokowego;</w:t>
            </w:r>
          </w:p>
          <w:p w14:paraId="10152C00" w14:textId="77777777" w:rsidR="00491560" w:rsidRPr="00BF25A1" w:rsidRDefault="00BC5824" w:rsidP="00B47AD3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iekontrolowane choroby układu sercowo-naczyniowego;</w:t>
            </w:r>
          </w:p>
          <w:p w14:paraId="1745AECE" w14:textId="77777777" w:rsidR="00491560" w:rsidRPr="00BF25A1" w:rsidRDefault="00BC5824" w:rsidP="00B47AD3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cześniejsze leczenie enzalutamidem lub octanem abirateronu.</w:t>
            </w:r>
          </w:p>
          <w:p w14:paraId="674FCE27" w14:textId="77777777" w:rsidR="00491560" w:rsidRPr="005D2A3D" w:rsidRDefault="00491560" w:rsidP="00B47AD3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7BA4ACA5" w14:textId="77777777" w:rsidR="00491560" w:rsidRPr="005D2A3D" w:rsidRDefault="00BC5824" w:rsidP="00B47AD3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objawów nadwrażliwości na octan abirateronu lub którąkolwiek substancję pomocniczą;</w:t>
            </w:r>
          </w:p>
          <w:p w14:paraId="77802728" w14:textId="77777777" w:rsidR="00491560" w:rsidRPr="005D2A3D" w:rsidRDefault="00BC5824" w:rsidP="00B47AD3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choroby w trakcie stosowania leku, definiowana według następujących kryteriów:</w:t>
            </w:r>
          </w:p>
          <w:p w14:paraId="0A6B150F" w14:textId="77777777" w:rsidR="00491560" w:rsidRPr="005D2A3D" w:rsidRDefault="00B2245C" w:rsidP="00B47AD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8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łącznie przynajmniej 2 z 3 następujących rodzajów progresji:</w:t>
            </w:r>
          </w:p>
          <w:p w14:paraId="491386BD" w14:textId="77777777" w:rsidR="00491560" w:rsidRPr="005D2A3D" w:rsidRDefault="00491560" w:rsidP="00B47A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80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14:paraId="0D24D389" w14:textId="77777777" w:rsidR="00B2245C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- progresja bólu określona jako włączenie nowego opioidu na dłużej niż 2 tygodnie (nie dotyczy przypadków, gdy włączenie nowego opioidowego leku przeciwbólowego nastąpiło z powodu działań niepożądanych wywołanych przez lek dotychczas stosowany) </w:t>
            </w:r>
          </w:p>
          <w:p w14:paraId="58D3DE33" w14:textId="77777777" w:rsidR="00491560" w:rsidRPr="00BF25A1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5300238B" w14:textId="77777777" w:rsidR="00B2245C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- wystąpienie SRE (skeletal related events - zdarzeń kostnych) </w:t>
            </w:r>
          </w:p>
          <w:p w14:paraId="47605D3E" w14:textId="77777777" w:rsidR="00491560" w:rsidRPr="00BF25A1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56E5F3E1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utrzymujące się min. 2 tygodnie pogorszenie sprawności pacjenta do co najmniej stopnia 2 (wg klasyfikacji WHO);</w:t>
            </w:r>
          </w:p>
          <w:p w14:paraId="4EC9EF34" w14:textId="77777777" w:rsidR="00491560" w:rsidRPr="005D2A3D" w:rsidRDefault="00491560" w:rsidP="00B47A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79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14:paraId="33EA9062" w14:textId="77777777" w:rsidR="00491560" w:rsidRPr="005D2A3D" w:rsidRDefault="00491560" w:rsidP="00B47A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79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14:paraId="48B1C80F" w14:textId="77777777" w:rsidR="00491560" w:rsidRPr="005D2A3D" w:rsidRDefault="00491560" w:rsidP="00B47AD3">
            <w:pPr>
              <w:spacing w:after="120" w:line="240" w:lineRule="auto"/>
              <w:ind w:left="880" w:hanging="42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6754B3B9" w14:textId="77777777" w:rsidR="00491560" w:rsidRPr="00BF25A1" w:rsidRDefault="00E95ADB" w:rsidP="00B47AD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zgodnie z kryteriami RECIST;</w:t>
            </w:r>
          </w:p>
          <w:p w14:paraId="377FBCF7" w14:textId="77777777" w:rsidR="00491560" w:rsidRPr="005D2A3D" w:rsidRDefault="00E95ADB" w:rsidP="00B47AD3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działań niepożądanych uniemożliwiających kontynuację leczenia zgodnie z wytycznymi zawartymi w charakterystyce produktu leczniczego;</w:t>
            </w:r>
          </w:p>
          <w:p w14:paraId="3A8113C4" w14:textId="77777777" w:rsidR="00491560" w:rsidRPr="00BF25A1" w:rsidRDefault="00E95ADB" w:rsidP="00B24952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ezygnacja świadczeniobiorcy.</w:t>
            </w:r>
          </w:p>
          <w:p w14:paraId="04E01D59" w14:textId="77777777" w:rsidR="00491560" w:rsidRPr="00F02EB5" w:rsidRDefault="00491560" w:rsidP="00B24952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F02EB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enzalutamidem</w:t>
            </w:r>
          </w:p>
          <w:p w14:paraId="24D29C53" w14:textId="77777777" w:rsidR="00491560" w:rsidRPr="005D2A3D" w:rsidRDefault="00491560" w:rsidP="00B47AD3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Kryteria </w:t>
            </w:r>
            <w:r w:rsidR="006A2F7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3EC3F072" w14:textId="77777777" w:rsidR="00491560" w:rsidRPr="005D2A3D" w:rsidRDefault="005C650C" w:rsidP="00B47AD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5D2A3D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18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lat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powyżej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DEC2C83" w14:textId="77777777" w:rsidR="00491560" w:rsidRPr="005D2A3D" w:rsidRDefault="00491560" w:rsidP="00B47AD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rozpoznanie histologiczne raka gruczołu krokowego;</w:t>
            </w:r>
          </w:p>
          <w:p w14:paraId="68749B64" w14:textId="77777777" w:rsidR="00491560" w:rsidRPr="005D2A3D" w:rsidRDefault="00491560" w:rsidP="00B47AD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stadium oporności na kastrację (stężenie testosteronu w surowicy wynoszące poniżej 50 ng/dl, tj. wynoszące mniej niż 1,7 nmol/l);</w:t>
            </w:r>
          </w:p>
          <w:p w14:paraId="5C7A4AA1" w14:textId="77777777" w:rsidR="00491560" w:rsidRPr="005D2A3D" w:rsidRDefault="00491560" w:rsidP="00B47AD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0-1 według ECOG;</w:t>
            </w:r>
          </w:p>
          <w:p w14:paraId="5A8DF3A1" w14:textId="77777777" w:rsidR="00491560" w:rsidRPr="005D2A3D" w:rsidRDefault="00491560" w:rsidP="00B47AD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podczas lub po zakończeniu leczenia z udziałem docetakselu,  definiowana jako spełnienie co najmniej jednego spośród trzech poniższych kryteriów, określonych w lit. a-c:</w:t>
            </w:r>
          </w:p>
          <w:p w14:paraId="12C84BF8" w14:textId="77777777" w:rsidR="00491560" w:rsidRPr="005D2A3D" w:rsidRDefault="00491560" w:rsidP="00B47AD3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880" w:hanging="2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wzrastające wartości PSA w trzech kolejnych badaniach wykonywanych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Minimalny wzrost stężenia PSA wynosi przynajmniej 50% w stosunku do wartości wyjściowej wynoszącej  &gt;2 ng/ml,</w:t>
            </w:r>
          </w:p>
          <w:p w14:paraId="291732D3" w14:textId="77777777" w:rsidR="00491560" w:rsidRPr="005D2A3D" w:rsidRDefault="00491560" w:rsidP="00B47AD3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880" w:hanging="2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tkankach miękkich ocenianych wg kryteriów RECIST,</w:t>
            </w:r>
          </w:p>
          <w:p w14:paraId="7A05984C" w14:textId="77777777" w:rsidR="00491560" w:rsidRPr="005D2A3D" w:rsidRDefault="00491560" w:rsidP="00B47AD3">
            <w:pPr>
              <w:numPr>
                <w:ilvl w:val="1"/>
                <w:numId w:val="18"/>
              </w:numPr>
              <w:autoSpaceDN w:val="0"/>
              <w:spacing w:after="0" w:line="240" w:lineRule="auto"/>
              <w:ind w:left="880" w:hanging="2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kościach definiowanych jako co najmniej dwie nowe zmiany w badaniach obrazowych kości wg Prostate Cancer Working Group 2 (</w:t>
            </w:r>
            <w:r w:rsidR="00CD3CB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ojawienie się co najmniej 2 nowych ognisk wzmożonego wychwytu w scyntygrafii kości).</w:t>
            </w:r>
          </w:p>
          <w:p w14:paraId="43B09F09" w14:textId="77777777" w:rsidR="00491560" w:rsidRPr="00243D79" w:rsidRDefault="00491560" w:rsidP="00B47A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69D1E6D2" w14:textId="77777777" w:rsidR="00491560" w:rsidRPr="00F02EB5" w:rsidRDefault="00491560" w:rsidP="00B47AD3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3490FC3A" w14:textId="77777777" w:rsidR="00491560" w:rsidRPr="005D2A3D" w:rsidRDefault="00491560" w:rsidP="00B47AD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nadwrażliwość na enzalutamid lub którąkolwiek substancję pomocniczą;</w:t>
            </w:r>
          </w:p>
          <w:p w14:paraId="3929132A" w14:textId="77777777" w:rsidR="00491560" w:rsidRPr="005D2A3D" w:rsidRDefault="00491560" w:rsidP="00B47AD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ciężka niewydolność nerek, ciężka niewydolność wątroby (klasa C wg skali Child – Pugh);</w:t>
            </w:r>
          </w:p>
          <w:p w14:paraId="77D100C8" w14:textId="77777777" w:rsidR="00491560" w:rsidRPr="005D2A3D" w:rsidRDefault="00491560" w:rsidP="00B47AD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choroby układu sercowo-naczyniowego: zawał mięśnia sercowego przebyty wciągu ostatnich 6 miesięcy lub niestabilna dusznica bolesna (w ostatnich 3 miesiącach)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niewydolność serca klasy III lub IV według NYHA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istotne i niekontrolowane zaburzenia rytmu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przewodnictwa serca (w tym QTcF &gt; 470 ms)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nieleczone albo niepoddające się leczeniu znaczne nadciśnienie tętnicze;</w:t>
            </w:r>
          </w:p>
          <w:p w14:paraId="2817E049" w14:textId="77777777" w:rsidR="00491560" w:rsidRPr="005D2A3D" w:rsidRDefault="00491560" w:rsidP="00B47AD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dziedziczna nietolerancja fruktozy;</w:t>
            </w:r>
          </w:p>
          <w:p w14:paraId="37040C17" w14:textId="77777777" w:rsidR="00491560" w:rsidRPr="005D2A3D" w:rsidRDefault="00491560" w:rsidP="00B47AD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wcześniejsze leczenie enzalutamidem lub octanem abirateronu;</w:t>
            </w:r>
          </w:p>
          <w:p w14:paraId="31509158" w14:textId="77777777" w:rsidR="00491560" w:rsidRPr="005D2A3D" w:rsidRDefault="00491560" w:rsidP="00B47AD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napady padaczkowe w wywiadzie lub inne opisane w wywiadzie czynniki predysponujące do ich wystąpienia.</w:t>
            </w:r>
          </w:p>
          <w:p w14:paraId="7AE49F47" w14:textId="77777777" w:rsidR="00491560" w:rsidRPr="005D2A3D" w:rsidRDefault="00491560" w:rsidP="00B47AD3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Określenie czasu leczenia w programie</w:t>
            </w:r>
          </w:p>
          <w:p w14:paraId="2FBF5D7B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Leczenie trwa do czasu podjęcia przez lekarza prowadzącego decyzji o zakończeniu leczenia świadczeniobiorcy w programie, zgodnie z kryteriami wyłączenia z programu.</w:t>
            </w:r>
          </w:p>
          <w:p w14:paraId="5B7206BB" w14:textId="77777777" w:rsidR="00491560" w:rsidRPr="005D2A3D" w:rsidRDefault="00491560" w:rsidP="00B47AD3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wyłączenia z programu</w:t>
            </w:r>
          </w:p>
          <w:p w14:paraId="407925FA" w14:textId="77777777" w:rsidR="00491560" w:rsidRPr="005D2A3D" w:rsidRDefault="00491560" w:rsidP="00B47A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w t</w:t>
            </w:r>
            <w:r w:rsidR="00B47AD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rakcie stosowania enzalutamidu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zdefiniowana jako spełnienie co najmniej jednego spośród trzech poniższych kryteriów, podanych w punktach a - c:</w:t>
            </w:r>
          </w:p>
          <w:p w14:paraId="02B2ACD5" w14:textId="77777777" w:rsidR="00491560" w:rsidRPr="005D2A3D" w:rsidRDefault="00491560" w:rsidP="00B47AD3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021" w:hanging="28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wzrastające wartości PSA w trzech kolejnych badaniach wykonywanych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Minimalny wzrost stężenia PSA wynosi przynajmniej 50% w stosunku do nadiru i wynosi w wartościach bezwzględnych przynajmniej 5 ng/ml,</w:t>
            </w:r>
          </w:p>
          <w:p w14:paraId="1B9D2606" w14:textId="77777777" w:rsidR="00491560" w:rsidRPr="005D2A3D" w:rsidRDefault="00491560" w:rsidP="00B47AD3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021" w:hanging="28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tkankach miękkich ocenianych wg kryteriów RECIST,</w:t>
            </w:r>
          </w:p>
          <w:p w14:paraId="76C861F6" w14:textId="77777777" w:rsidR="00491560" w:rsidRPr="005D2A3D" w:rsidRDefault="00491560" w:rsidP="00B47AD3">
            <w:pPr>
              <w:numPr>
                <w:ilvl w:val="1"/>
                <w:numId w:val="21"/>
              </w:numPr>
              <w:autoSpaceDN w:val="0"/>
              <w:spacing w:after="0" w:line="240" w:lineRule="auto"/>
              <w:ind w:left="1021" w:hanging="28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kościach definiowanych jako co najmniej dwie nowe zmiany w badaniach obrazowych kości wg Prostate Cancer Working Group 2 (</w:t>
            </w:r>
            <w:r w:rsidR="00CD3CB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ojawienie się co najmniej 2 nowych ognisk wzmożonego wychwytu w scyntygrafii kości; w przypadku ich stwierdzenia w pierwszym badaniu w trakcie leczenia dodatkowo konieczne jest stwierdzenie co najmniej 2 kolejnych nowych ognisk w kolejnej scyntygrafii wykonanej po co najmnie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 6 tygodniach.);</w:t>
            </w:r>
          </w:p>
          <w:p w14:paraId="00630A8A" w14:textId="77777777" w:rsidR="00491560" w:rsidRPr="005D2A3D" w:rsidRDefault="00491560" w:rsidP="00B47A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nadwrażliwości na enzalutamid lub którąkolwiek substancję pomocniczą;</w:t>
            </w:r>
          </w:p>
          <w:p w14:paraId="72980075" w14:textId="77777777" w:rsidR="00491560" w:rsidRPr="005D2A3D" w:rsidRDefault="00491560" w:rsidP="00B47A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działań niepożądanych uniemożliwiających kontynuację leczenia zgodnie z zaleceniami zawartymi w 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harakterystyce 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roduktu 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eczniczego;</w:t>
            </w:r>
          </w:p>
          <w:p w14:paraId="4C568EC7" w14:textId="77777777" w:rsidR="00491560" w:rsidRPr="005D2A3D" w:rsidRDefault="00491560" w:rsidP="00B47A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360" w:line="240" w:lineRule="auto"/>
              <w:ind w:left="595" w:hanging="42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 świadczeniobiorcy.</w:t>
            </w:r>
          </w:p>
          <w:p w14:paraId="2FB03D57" w14:textId="77777777" w:rsidR="00491560" w:rsidRPr="005D2A3D" w:rsidRDefault="00491560" w:rsidP="00B47AD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dichlorkiem radu Ra-223</w:t>
            </w:r>
          </w:p>
          <w:p w14:paraId="172DEC4E" w14:textId="77777777" w:rsidR="00491560" w:rsidRDefault="00491560" w:rsidP="00B47AD3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kwalifikacji</w:t>
            </w:r>
          </w:p>
          <w:p w14:paraId="57CF1A91" w14:textId="77777777" w:rsidR="00B24952" w:rsidRPr="005D2A3D" w:rsidRDefault="00B24952" w:rsidP="00B2495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45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 kwalifikuje się pacjentów spełniających łącznie następujące kryteria:</w:t>
            </w:r>
          </w:p>
          <w:p w14:paraId="3F3B094A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lub cytologiczne rozpoznanie raka gruczołu krokowego;</w:t>
            </w:r>
          </w:p>
          <w:p w14:paraId="56E022D7" w14:textId="625A6645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kastracyjne stężenie testosteronu (poniżej 50 ng/dl) </w:t>
            </w:r>
            <w:r w:rsidR="00601C1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wyniku</w:t>
            </w:r>
            <w:r w:rsidR="00B845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774BB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prowadzonego farmakologicznego leczenia kastracyjnego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(farmakologiczne leczenie kastracyjne powinno być kontynuowane) </w:t>
            </w:r>
          </w:p>
          <w:p w14:paraId="6FA56C77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83F13AE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 wykonanej kastracji chirurgicznej;</w:t>
            </w:r>
          </w:p>
          <w:p w14:paraId="18BC1ABF" w14:textId="4ABEE25A" w:rsidR="00F3033B" w:rsidRPr="001C15A6" w:rsidRDefault="00B24952" w:rsidP="001C15A6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po wcześniejszym z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astosowaniu </w:t>
            </w:r>
            <w:r w:rsidR="00B845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co najmniej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dwóch linii 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systemowego </w:t>
            </w:r>
            <w:r w:rsidR="009F5A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(innych niż analogi LHRH)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powodu </w:t>
            </w:r>
            <w:r w:rsidR="009264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przerzutowego,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opornego na kastrację raka gruczołu krokowego, w tym </w:t>
            </w:r>
            <w:r w:rsidR="004E7A7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leczenie docetakselem ukończone co najmniej 4 tygodnie przed rozpoczęciem leczenia </w:t>
            </w:r>
            <w:r w:rsidR="0079031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 radu-223. Jeśli pacjent przed rozpoczęciem leczenia dichlorkiem radu-223 przyjmował octan abirateronu z prednizo</w:t>
            </w:r>
            <w:r w:rsidR="00774BB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em/prednizolonem, należy zapewnić minimum 5 dniowy odstęp między podaniem ostatniej dawki octanu abirateronu z prednizo</w:t>
            </w:r>
            <w:r w:rsidR="00774BB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em/prednizolonem, a pierwszej dawki dichlorku radu-223.</w:t>
            </w:r>
          </w:p>
          <w:p w14:paraId="035AC098" w14:textId="3218E01A" w:rsidR="004E7A70" w:rsidRPr="004E7A70" w:rsidRDefault="002D614C" w:rsidP="004E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</w:t>
            </w:r>
            <w:r w:rsidR="001C15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się zastosowanie dichlorku radu-223 bez zastosowania wcześniejszych dwóch linii leczenia systemowego pod warunkiem braku możliwości zastosowania innej metody leczenia systemowego, co oznacza obecność przeciwwskazań medycznych</w:t>
            </w:r>
            <w:r w:rsidR="003771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B9B4B54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nowotworu definiowana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jest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jako:</w:t>
            </w:r>
          </w:p>
          <w:p w14:paraId="1FA5B3A1" w14:textId="77777777" w:rsidR="00491560" w:rsidRPr="005D2A3D" w:rsidRDefault="00491560" w:rsidP="00B47AD3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wzrost stężenia PSA w kolejnych 3 badaniach wykonanych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 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w tym co najmniej dwoma wzrostami o 50% wobec wartości wyjściow</w:t>
            </w:r>
            <w:r w:rsidR="001A18D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ej, która musi wynosić powyżej 2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ng/ml </w:t>
            </w:r>
          </w:p>
          <w:p w14:paraId="32E8E05C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2AF3FE18" w14:textId="77777777" w:rsidR="00491560" w:rsidRPr="005D2A3D" w:rsidRDefault="00491560" w:rsidP="00B47AD3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 badaniach obrazowych;</w:t>
            </w:r>
          </w:p>
          <w:p w14:paraId="6D679BEF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potwierdzenie w badaniu scyntygraficznym obecności co najmniej 6 przerzutów do kości;</w:t>
            </w:r>
          </w:p>
          <w:p w14:paraId="3AD60906" w14:textId="3DA03A03" w:rsidR="002D614C" w:rsidRDefault="001C15A6" w:rsidP="002F2036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 kostne wymagające</w:t>
            </w:r>
            <w:r w:rsid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402505EB" w14:textId="697DEEA4" w:rsidR="002F2036" w:rsidRDefault="002D614C" w:rsidP="002F203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8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stałego stosowania leków przeciwbólowych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w sposób zgodny z zasad</w:t>
            </w:r>
            <w:r w:rsidR="001278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 postępowania w leczeniu bólu pochodzenia nowotworowego,</w:t>
            </w:r>
            <w:r w:rsidR="00491560" w:rsidRP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</w:p>
          <w:p w14:paraId="6760E0EF" w14:textId="5D904F40" w:rsidR="00491560" w:rsidRPr="002F2036" w:rsidRDefault="00491560" w:rsidP="002F203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8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paliatywnej radioterapii</w:t>
            </w:r>
            <w:r w:rsidR="002D614C" w:rsidRP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która została przeprowadzona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okresie nie więcej niż 12 tygodni przed </w:t>
            </w:r>
            <w:r w:rsidR="002D614C"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zakwalifikowaniem do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leczenia</w:t>
            </w:r>
            <w:r w:rsidR="002D614C"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dichlorkiem radu-223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AA2257E" w14:textId="77777777" w:rsidR="00491560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przerzutów do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narządów trzewnych z wyjątkiem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 do węzłów chłonnych o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wymiarze mniejszym lub równym 3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cm w osi krótkiej;</w:t>
            </w:r>
          </w:p>
          <w:p w14:paraId="4E3C8335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ogólnej 0-2 według ECOG;</w:t>
            </w:r>
          </w:p>
          <w:p w14:paraId="02826984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 pacjenta: 18 lat i powyżej;</w:t>
            </w:r>
          </w:p>
          <w:p w14:paraId="60169796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wyniki badania morfologii krwi z rozmazem:</w:t>
            </w:r>
          </w:p>
          <w:p w14:paraId="5DC23CE5" w14:textId="77777777" w:rsidR="00491560" w:rsidRPr="005D2A3D" w:rsidRDefault="00491560" w:rsidP="00B47AD3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 płytek krwi większa lub równa 1,0 x 10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5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/mm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7FA70124" w14:textId="77777777" w:rsidR="00491560" w:rsidRPr="005D2A3D" w:rsidRDefault="00491560" w:rsidP="00B47AD3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bezwzględna liczba neutrofilów większa lub równa 1500/mm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4E3CE1E" w14:textId="77777777" w:rsidR="00491560" w:rsidRPr="005D2A3D" w:rsidRDefault="00491560" w:rsidP="00B47AD3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hemoglobiny większe lub równe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10,0 g/dl;</w:t>
            </w:r>
          </w:p>
          <w:p w14:paraId="72674177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bilirubiny mniejsze lub równe 1,5 GGN;</w:t>
            </w:r>
          </w:p>
          <w:p w14:paraId="7E4779FF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aktywność AspAT i AlAT mniejsze lub równe 2,5 GGN;</w:t>
            </w:r>
          </w:p>
          <w:p w14:paraId="172030F0" w14:textId="77777777" w:rsidR="00491560" w:rsidRPr="005D2A3D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kreatyniny mniejsze lub równe 1,5 GGN;</w:t>
            </w:r>
          </w:p>
          <w:p w14:paraId="4902200F" w14:textId="77777777" w:rsidR="006A2F7B" w:rsidRPr="004E7A70" w:rsidRDefault="00491560" w:rsidP="00B47A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40" w:lineRule="auto"/>
              <w:ind w:left="595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oczekiwany czas przeżycia dłuższy niż 6 miesięcy.</w:t>
            </w:r>
          </w:p>
          <w:p w14:paraId="7194B41E" w14:textId="77777777" w:rsidR="00491560" w:rsidRPr="00BF25A1" w:rsidRDefault="00491560" w:rsidP="00B47AD3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70CEC67A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02EB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w programie obejmuje 6 podań leku wykonywanych w odstępach 4 tygodni, chyba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że w oparciu o kryteria zakończenia udziału w programie, </w:t>
            </w:r>
            <w:r w:rsidR="005C650C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określon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</w:t>
            </w:r>
            <w:r w:rsidR="005C650C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pkt 4.4.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zostanie podjęta decyzja o wyłączeniu pacjenta z programu.</w:t>
            </w:r>
          </w:p>
          <w:p w14:paraId="47A11F98" w14:textId="77777777" w:rsidR="00491560" w:rsidRPr="005D2A3D" w:rsidRDefault="00491560" w:rsidP="00B47AD3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0B45EC01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programu nie kwalifikuje się pacjentów w przypadku wystąpienia co najmniej jednego z poniższych kryteriów:</w:t>
            </w:r>
          </w:p>
          <w:p w14:paraId="147B976A" w14:textId="18A89881" w:rsidR="00491560" w:rsidRPr="005D2A3D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współistnienie innego aktywnego nowotworu złośliwego (z wyjątkiem r</w:t>
            </w:r>
            <w:r w:rsidR="003E4FF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aka podstawnokomórkowego skóry);</w:t>
            </w:r>
            <w:bookmarkStart w:id="0" w:name="_GoBack"/>
            <w:bookmarkEnd w:id="0"/>
          </w:p>
          <w:p w14:paraId="646C880F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 wcześniejsze zachorowanie na jakikolwiek nowotwór złośliwy, o ile leczenie nie miało charakteru radykalnego lub miało charakter radykalny, ale nie uzyskano całkowitej remisji;</w:t>
            </w:r>
          </w:p>
          <w:p w14:paraId="32AC9D63" w14:textId="77777777" w:rsidR="00491560" w:rsidRPr="005D2A3D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istotnych klinicznie działań niepożądanych spowodowanych chemioterapią, które nie ustępują w ciągu 4 tygodni od przerwania leczenia (z wyjątkiem utrzymującej się neuropatii);</w:t>
            </w:r>
          </w:p>
          <w:p w14:paraId="231EB50F" w14:textId="77777777" w:rsidR="00491560" w:rsidRPr="005D2A3D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z zastosowaniem strontu-89, samaru-153, renu-186 lub renu-188 w okresie 24 tygodni przed rozpoczęciem leczenia w ramach tego programu;</w:t>
            </w:r>
          </w:p>
          <w:p w14:paraId="5B0A1D8F" w14:textId="447EA28A" w:rsidR="004E7A70" w:rsidRDefault="002F2036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jednoczesne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stosowanie inne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go systemowego leczenia przeciw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owego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wyjątkiem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farmakologicznego leczenia kastracyjnego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analog LHRH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E1CE060" w14:textId="77777777" w:rsidR="00491560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wymagająca zaopatrzenia miejscowego lub radioterapii (leczenie dichlorkiem radu Ra-223 może zostać podjęte po skutecznym zakończeniu leczenia miejscowego);</w:t>
            </w:r>
          </w:p>
          <w:p w14:paraId="62D621F2" w14:textId="7530F262" w:rsidR="00B845E7" w:rsidRPr="005D2A3D" w:rsidRDefault="004444A6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obecność </w:t>
            </w:r>
            <w:r w:rsidR="00B845E7" w:rsidRP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 do mózgu niekontrolowanych leczeniem miejscowym</w:t>
            </w:r>
            <w:r w:rsidR="00B845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4D88C28" w14:textId="77777777" w:rsidR="00491560" w:rsidRPr="0089429B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9429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co najmniej jednego z następujących schorzeń współistniejących:</w:t>
            </w:r>
          </w:p>
          <w:p w14:paraId="2285A6BC" w14:textId="77777777" w:rsidR="00491560" w:rsidRPr="005D2A3D" w:rsidRDefault="00491560" w:rsidP="00B47AD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 infekcja,</w:t>
            </w:r>
          </w:p>
          <w:p w14:paraId="7C5A49B8" w14:textId="77777777" w:rsidR="00491560" w:rsidRPr="005D2A3D" w:rsidRDefault="00491560" w:rsidP="00B47AD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14:paraId="2ECB065D" w14:textId="77777777" w:rsidR="00491560" w:rsidRPr="005D2A3D" w:rsidRDefault="00491560" w:rsidP="00B47AD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choroba Crohna lub wrzodziejące zapalenie jelita grubego, </w:t>
            </w:r>
          </w:p>
          <w:p w14:paraId="3DBFF4A1" w14:textId="77777777" w:rsidR="00491560" w:rsidRPr="005D2A3D" w:rsidRDefault="00491560" w:rsidP="00B47AD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mielodysplazja szpiku;</w:t>
            </w:r>
          </w:p>
          <w:p w14:paraId="08188BF9" w14:textId="77777777" w:rsidR="00491560" w:rsidRPr="005D2A3D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30BE8DE0" w14:textId="3D8C62FB" w:rsidR="00491560" w:rsidRDefault="00491560" w:rsidP="00B47AD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3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jakichkolwiek innych stanów lub schorzeń, które w opinii lekarza mogą stanowić przeciwwskazanie do zastosowania</w:t>
            </w:r>
            <w:r w:rsidR="00A067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dichlorku radu Ra-223</w:t>
            </w:r>
            <w:r w:rsid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18D3191" w14:textId="77777777" w:rsidR="00491560" w:rsidRPr="005D2A3D" w:rsidRDefault="00491560" w:rsidP="00B47AD3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zakończenia udziału w programie</w:t>
            </w:r>
          </w:p>
          <w:p w14:paraId="20B33FE0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Leczenie pacjenta w programie zostaje zakończone</w:t>
            </w:r>
            <w:r w:rsidR="00CD3CB7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jeżeli w trakcie tego leczenia wystąpi co najmniej jedno z następujących kryteriów: </w:t>
            </w:r>
          </w:p>
          <w:p w14:paraId="17A630B2" w14:textId="77777777" w:rsidR="00491560" w:rsidRPr="005D2A3D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nieakceptowalnej toksyczności hematologicznej tj. neutropenii lub trombocytopenii w stopniu 3 lub 4 wg CTC, utrzymujące się pomimo podjętego leczenia objawowego przez okres powyżej 14 dni </w:t>
            </w:r>
          </w:p>
          <w:p w14:paraId="5DA6E41B" w14:textId="77777777" w:rsidR="00CD3CB7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689D448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utrzymywanie się pomimo podjętego leczenia objawowego innej toksyczności w stopniu 4 wg CTC przez okres powyżej 7 dni; </w:t>
            </w:r>
          </w:p>
          <w:p w14:paraId="50A1C90A" w14:textId="77777777" w:rsidR="00491560" w:rsidRPr="005D2A3D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 nowego leczenia z zastosowaniem innego preparatu radioizotopowego</w:t>
            </w:r>
          </w:p>
          <w:p w14:paraId="69AA5A46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z wyjątkiem zastosowania radioterapii paliatywnej na pojedyncze ogniska przerzutowe;</w:t>
            </w:r>
          </w:p>
          <w:p w14:paraId="475620DF" w14:textId="77777777" w:rsidR="00491560" w:rsidRPr="005D2A3D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pogorszenie stanu sprawności ogólnej o co najmniej 2 stopnie wg ECOG w stosunku do wartości wyjściowej;</w:t>
            </w:r>
          </w:p>
          <w:p w14:paraId="4E37E500" w14:textId="77777777" w:rsidR="00491560" w:rsidRPr="005D2A3D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PSA rozumiana jako postępujące zwiększenie stężenia PSA w kolejnych 3 badaniach wykonanych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z co najmniej dwoma wzrostami o 50% wobec wartości wyjściowej, która musi być większa 5 ng/ml;</w:t>
            </w:r>
          </w:p>
          <w:p w14:paraId="5159109C" w14:textId="77777777" w:rsidR="00491560" w:rsidRPr="005D2A3D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60DF01D1" w14:textId="77777777" w:rsidR="00491560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która nie może zostać zaopatrzona miejscowo lub której zaopatrzenie wymagałoby opóźnienia podania kolejnej dawki leku o więcej niż 4 tygodnie;</w:t>
            </w:r>
          </w:p>
          <w:p w14:paraId="6655A443" w14:textId="77777777" w:rsidR="00491560" w:rsidRPr="00CD3CB7" w:rsidRDefault="00491560" w:rsidP="00B47AD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jakiekolwiek inne poważne schorzenie, które w opinii lekarza prowadzącego uniemożliwia kontynuację leczenia dichlorkiem radu Ra-223.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8969" w14:textId="77777777" w:rsidR="00491560" w:rsidRPr="005D2A3D" w:rsidRDefault="00491560" w:rsidP="00B47AD3">
            <w:pPr>
              <w:widowControl w:val="0"/>
              <w:numPr>
                <w:ilvl w:val="1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Dawkowanie w leczeniu opornego na kastrację raka gruczołu krokowego octanem abirateronu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4A2370A3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 dawka octanu abirateronu wynosi 1000 mg i jest stosowana jednorazowo co 24 godziny. Leku nie wolno przyjmować razem z pokarmem (przyjmowanie leku z pokarmem zwiększa całkowite narażenie organizmu na abirateron).</w:t>
            </w:r>
          </w:p>
          <w:p w14:paraId="4CA501D8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 abirateronu należy przyjmować w skojarzeniu z małą dawką prednizonu lub prednizolonu. Zalecana dawka prednizonu lub prednizolonu wynosi 10 mg na dobę.</w:t>
            </w:r>
          </w:p>
          <w:p w14:paraId="71449322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chorych, którzy nie byli uprzednio poddani orchidektomii, w trakcie leczenia abirateronem należy  utrzymać supresję androgenową, z zastosowaniem agonistów LHRH.</w:t>
            </w:r>
          </w:p>
          <w:p w14:paraId="6ECD6D1E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</w:t>
            </w:r>
            <w:r w:rsidR="007A3CB3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 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harakterystyce 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roduktu 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eczniczego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  <w:p w14:paraId="59E01C25" w14:textId="77777777" w:rsidR="00491560" w:rsidRPr="005D2A3D" w:rsidRDefault="00491560" w:rsidP="00B47AD3">
            <w:pPr>
              <w:widowControl w:val="0"/>
              <w:numPr>
                <w:ilvl w:val="1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6" w:hanging="284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Dawkowanie w leczeniu </w:t>
            </w: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>opornego na kastrację raka gruczołu krokowego octanem abirateronu</w:t>
            </w:r>
          </w:p>
          <w:p w14:paraId="05A4A836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 dawka octanu abirateronu wynosi 1000 mg i jest stosowana jednorazowo co 24 godziny. Leku nie wolno przyjmować razem z pokarmem (przyjmowanie leku z pokarmem zwiększa całkowite narażenie organizmu na abirateron).</w:t>
            </w:r>
          </w:p>
          <w:p w14:paraId="18D5E142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 abirateronu należy przyjmować w skojarzeniu z małą dawką prednizonu lub prednizolonu. Zalecana dawka prednizonu lub prednizolonu wynosi 10 mg na dobę.</w:t>
            </w:r>
          </w:p>
          <w:p w14:paraId="602F58F2" w14:textId="77777777" w:rsidR="00491560" w:rsidRPr="005D2A3D" w:rsidRDefault="00491560" w:rsidP="00B47A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chorych, którzy nie byli uprzednio poddani orchidektomii, w trakcie leczenia abirateronem należy  utrzymać supresję androgenową, z zastosowaniem agonistów LHRH.</w:t>
            </w:r>
          </w:p>
          <w:p w14:paraId="1374300E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 charakterystyce produktu leczniczego.</w:t>
            </w:r>
          </w:p>
          <w:p w14:paraId="6B645164" w14:textId="77777777" w:rsidR="00491560" w:rsidRPr="005D2A3D" w:rsidRDefault="00491560" w:rsidP="00B47AD3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Dawkowanie w leczeniu opornego na kastrację raka gruczołu krokowego enzalutamidem</w:t>
            </w:r>
          </w:p>
          <w:p w14:paraId="02934E09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Zalecana dawka enzalutamidu to 160 mg (cztery kapsułki po 40 mg) w jednorazowej dawce dobowej. Kapsułki należy połykać w całości popijając wodą niezależnie od posiłku.</w:t>
            </w:r>
          </w:p>
          <w:p w14:paraId="6825678A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14:paraId="7E0202C8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 przypadku pominięcia dawki w danym dniu, leczenie należy wznowić następnego dnia przyjmując zazwyczaj stosowaną dawkę dobową.</w:t>
            </w:r>
          </w:p>
          <w:p w14:paraId="2E31A7D8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Jeśli u pacjenta wystąpią objawy toksyczności stopnia ≥ 3 lub inne działania niepożądane, należy przerwać stosowanie produktu na tydzień lub do czasu zmniejszenia objawów do stopnia ≤ 2. Maksymalna przerwa w podawaniu leku nie może być dłuższa niż 8 tygodni. Następnie należy wznowić stosowanie leku w tej samej lub, jeżeli jest to uzasadnione, zmniejszonej dawce (120 mg lub 80 mg).</w:t>
            </w:r>
          </w:p>
          <w:p w14:paraId="4200E69B" w14:textId="77777777" w:rsidR="00491560" w:rsidRPr="005D2A3D" w:rsidRDefault="00491560" w:rsidP="00B47AD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U chorych nie poddanych obustronnej orchiektomii należy kontynuować terapię farmakologiczną, której celem jest uzyskanie kastracji.</w:t>
            </w:r>
          </w:p>
          <w:p w14:paraId="379B99AE" w14:textId="77777777" w:rsidR="00491560" w:rsidRPr="005D2A3D" w:rsidRDefault="00491560" w:rsidP="00B47AD3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 radu Ra-223</w:t>
            </w:r>
          </w:p>
          <w:p w14:paraId="67638C17" w14:textId="77777777" w:rsidR="00491560" w:rsidRPr="005D2A3D" w:rsidRDefault="00491560" w:rsidP="00B47AD3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Lek jest podawany we wstrzyknięciach dożylnych w dawce 55 kBq/kg mc. </w:t>
            </w:r>
          </w:p>
          <w:p w14:paraId="71022D10" w14:textId="77777777" w:rsidR="00491560" w:rsidRPr="005D2A3D" w:rsidRDefault="00491560" w:rsidP="00B47AD3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Dawka leku nie może być modyfikowana.</w:t>
            </w:r>
          </w:p>
          <w:p w14:paraId="7B87AF6D" w14:textId="77777777" w:rsidR="00491560" w:rsidRPr="005D2A3D" w:rsidRDefault="00491560" w:rsidP="00B47AD3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wystąpienia działań niepożądanych kolejna dawka leku może być podana z opóźnieniem, jednak nie może ono wynieść więcej niż 4 tygodnie.</w:t>
            </w:r>
          </w:p>
          <w:p w14:paraId="1F61E91A" w14:textId="77777777" w:rsidR="00491560" w:rsidRPr="005D2A3D" w:rsidRDefault="00491560" w:rsidP="00B47AD3">
            <w:pPr>
              <w:numPr>
                <w:ilvl w:val="1"/>
                <w:numId w:val="28"/>
              </w:numPr>
              <w:autoSpaceDN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Warunkiem podania kolejnej dawki leku w przypadku, o którym mowa powyżej jest:</w:t>
            </w:r>
          </w:p>
          <w:p w14:paraId="0A3851B5" w14:textId="77777777" w:rsidR="00491560" w:rsidRPr="005D2A3D" w:rsidRDefault="00491560" w:rsidP="00B47AD3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lastRenderedPageBreak/>
              <w:t>w przypadku hematotoksyczności: działanie powinno zmniejszyć się co najmniej do stopnia 2 wg CTC;</w:t>
            </w:r>
          </w:p>
          <w:p w14:paraId="2DA33644" w14:textId="77777777" w:rsidR="00491560" w:rsidRPr="005D2A3D" w:rsidRDefault="00491560" w:rsidP="00B47AD3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toksyczności innych niż hematologiczne: działanie powinno zmniejszyć się do stopnia 2 wg CTC w przypadku działań żołądkowo-jelitowych lub stopnia 3 wg CTC w przypadku pozostałych działań;</w:t>
            </w:r>
          </w:p>
          <w:p w14:paraId="69659A4E" w14:textId="77777777" w:rsidR="00491560" w:rsidRPr="005D2A3D" w:rsidRDefault="00491560" w:rsidP="00B47AD3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w przypadku kompresji rdzenia kręgowego, do której dojdzie w trakcie leczenia, stosowanie leku może być kontynuowane, jeżeli zaopatrzenie pacjenta nie spowoduje opóźnienia podania kolejnej dawki leku o więcej niż 4 tygodnie; </w:t>
            </w:r>
          </w:p>
          <w:p w14:paraId="79DD86BD" w14:textId="77777777" w:rsidR="00491560" w:rsidRPr="005D2A3D" w:rsidRDefault="00491560" w:rsidP="00B47AD3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złamania kostnego, do którego dojdzie w trakcie leczenia, podanie kolejnej dawki leku powinno odbyć się w okresie od 2 do 4 tygodni po dokonaniu się złamania.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E9C9" w14:textId="77777777" w:rsidR="00491560" w:rsidRPr="005D2A3D" w:rsidRDefault="00491560" w:rsidP="00B47AD3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Leczenie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octanem abirateronu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4CC397DD" w14:textId="77777777" w:rsidR="00491560" w:rsidRPr="005D2A3D" w:rsidRDefault="00491560" w:rsidP="00B47AD3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14:paraId="06A5DCF2" w14:textId="77777777" w:rsidR="00491560" w:rsidRPr="00243D79" w:rsidRDefault="004A2684" w:rsidP="00B47AD3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20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istologicznie potwierdzone rozpoznanie raka gruczołu krokowego;</w:t>
            </w:r>
          </w:p>
          <w:p w14:paraId="2419D35B" w14:textId="77777777" w:rsidR="00491560" w:rsidRPr="00243D79" w:rsidRDefault="004A2684" w:rsidP="00B47AD3">
            <w:pPr>
              <w:widowControl w:val="0"/>
              <w:numPr>
                <w:ilvl w:val="0"/>
                <w:numId w:val="31"/>
              </w:numPr>
              <w:tabs>
                <w:tab w:val="left" w:pos="600"/>
              </w:tabs>
              <w:spacing w:after="0" w:line="240" w:lineRule="auto"/>
              <w:ind w:left="458" w:right="-24" w:hanging="3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cena aktywności aminotransferaz w surowicy oraz innych wskaźników koniecznych do określenia kat. niewydolności wątroby wg Child</w:t>
            </w:r>
            <w:r w:rsidR="00953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Pugh przed rozpoczęciem leczenia;</w:t>
            </w:r>
          </w:p>
          <w:p w14:paraId="0DCE20AE" w14:textId="77777777" w:rsidR="00491560" w:rsidRPr="00243D79" w:rsidRDefault="004A2684" w:rsidP="00B47AD3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-24" w:hanging="3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cyntygrafia kośćca (jeżeli nie była wykonana wcześniej);</w:t>
            </w:r>
          </w:p>
          <w:p w14:paraId="37C865CA" w14:textId="77777777" w:rsidR="00491560" w:rsidRDefault="004A2684" w:rsidP="00B47AD3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-24" w:hanging="3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</w:t>
            </w:r>
            <w:r w:rsidR="006B2EA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rezonans magnetyczny) w zależności od sytuacji klinicznej;</w:t>
            </w:r>
          </w:p>
          <w:p w14:paraId="1DF5C12A" w14:textId="77777777" w:rsidR="00491560" w:rsidRPr="00F02EB5" w:rsidRDefault="004A2684" w:rsidP="00B47AD3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-24" w:hanging="360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Pr="005D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znaczenie stężenia PSA i testosteronu.</w:t>
            </w:r>
          </w:p>
          <w:p w14:paraId="7800265F" w14:textId="77777777" w:rsidR="00491560" w:rsidRPr="000968B7" w:rsidRDefault="00491560" w:rsidP="00B47AD3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453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968B7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leczenia</w:t>
            </w:r>
          </w:p>
          <w:p w14:paraId="38CCFA9B" w14:textId="77777777" w:rsidR="00491560" w:rsidRPr="00BF25A1" w:rsidRDefault="00491560" w:rsidP="00B4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2AB6DBF6" w14:textId="77777777" w:rsidR="00491560" w:rsidRPr="006B2EA2" w:rsidRDefault="006B2EA2" w:rsidP="00B47AD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znaczenie stężenia </w:t>
            </w:r>
            <w:r w:rsidR="00491560" w:rsidRPr="006B2EA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PSA co 3 miesiące;</w:t>
            </w:r>
          </w:p>
          <w:p w14:paraId="44212311" w14:textId="77777777" w:rsidR="00491560" w:rsidRPr="00243D79" w:rsidRDefault="006B2EA2" w:rsidP="00B47AD3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458" w:right="5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w zależności od badania wykonanego przy kwalifikacji;</w:t>
            </w:r>
          </w:p>
          <w:p w14:paraId="464B0D94" w14:textId="77777777" w:rsidR="00491560" w:rsidRPr="000968B7" w:rsidRDefault="006B2EA2" w:rsidP="00B47AD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cena aktywności aminotransferaz w surowicy co dwa tygodnie przez</w:t>
            </w:r>
            <w:r w:rsidR="00491560" w:rsidRPr="005D2A3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pierwsze trzy miesiące leczenia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  <w:r w:rsidR="00491560" w:rsidRPr="005D2A3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a następnie co miesiąc;</w:t>
            </w:r>
          </w:p>
          <w:p w14:paraId="4854CEC4" w14:textId="77777777" w:rsidR="00491560" w:rsidRPr="000968B7" w:rsidRDefault="006B2EA2" w:rsidP="00B47AD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r w:rsidR="00491560" w:rsidRPr="000968B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nne badania w zależności od sytuacji </w:t>
            </w:r>
            <w:r w:rsidR="00491560" w:rsidRPr="000968B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klinicznej;</w:t>
            </w:r>
          </w:p>
          <w:p w14:paraId="788D1389" w14:textId="77777777" w:rsidR="00491560" w:rsidRPr="005D2A3D" w:rsidRDefault="006B2EA2" w:rsidP="00B47AD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cyntygrafia po 6 miesiącach od włączania do programu lub wcześniej, w przypadku stwierdzenia progresji klinicznej, na podstawie kryteriów zawartych w kryteriach progresji.</w:t>
            </w:r>
          </w:p>
          <w:p w14:paraId="573362E8" w14:textId="77777777" w:rsidR="00491560" w:rsidRPr="005D2A3D" w:rsidRDefault="00491560" w:rsidP="00B47AD3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</w:t>
            </w:r>
          </w:p>
          <w:p w14:paraId="69664D19" w14:textId="77777777" w:rsidR="00491560" w:rsidRPr="005D2A3D" w:rsidRDefault="00491560" w:rsidP="00B47AD3">
            <w:pPr>
              <w:widowControl w:val="0"/>
              <w:numPr>
                <w:ilvl w:val="1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Badania przy kwalifikacji</w:t>
            </w:r>
          </w:p>
          <w:p w14:paraId="14A8AABA" w14:textId="77777777" w:rsidR="00491560" w:rsidRPr="005D2A3D" w:rsidRDefault="006B2EA2" w:rsidP="00B47AD3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istologicznie lub cytologicznie potwierdzone rozpoznanie raka gruczołu krokowego;</w:t>
            </w:r>
          </w:p>
          <w:p w14:paraId="25AA519A" w14:textId="77777777" w:rsidR="00491560" w:rsidRPr="005D2A3D" w:rsidRDefault="006B2EA2" w:rsidP="00B47AD3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cena aktywności aminotransferaz w surowicy oraz innych wskaźników koniecznych do określenia kat. niewydolności wątroby wg Child Pugh przed rozpoczęciem leczenia;</w:t>
            </w:r>
          </w:p>
          <w:p w14:paraId="120944FC" w14:textId="77777777" w:rsidR="00491560" w:rsidRPr="00BF25A1" w:rsidRDefault="006B2EA2" w:rsidP="00B47AD3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kośćca (jeżeli nie była wykonana wcześniej);</w:t>
            </w:r>
          </w:p>
          <w:p w14:paraId="08A82854" w14:textId="77777777" w:rsidR="00491560" w:rsidRPr="005D2A3D" w:rsidRDefault="006B2EA2" w:rsidP="00B47AD3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(rentgenografia lub tomografia komputerowa lub rezonans magnetyczny) w zależności od sytuacji klinicznej;</w:t>
            </w:r>
          </w:p>
          <w:p w14:paraId="361FDB82" w14:textId="77777777" w:rsidR="00491560" w:rsidRPr="00BF25A1" w:rsidRDefault="006B2EA2" w:rsidP="00B47AD3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znaczenie stężenia PSA.</w:t>
            </w:r>
          </w:p>
          <w:p w14:paraId="7F34DE84" w14:textId="77777777" w:rsidR="00491560" w:rsidRPr="00F02EB5" w:rsidRDefault="00491560" w:rsidP="00B47AD3">
            <w:pPr>
              <w:widowControl w:val="0"/>
              <w:numPr>
                <w:ilvl w:val="1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F02EB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Monitorowanie leczenia</w:t>
            </w:r>
          </w:p>
          <w:p w14:paraId="2A497B6B" w14:textId="77777777" w:rsidR="00491560" w:rsidRPr="00243D79" w:rsidRDefault="00491560" w:rsidP="00B47A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243D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60108F50" w14:textId="77777777" w:rsidR="00491560" w:rsidRPr="00BF25A1" w:rsidRDefault="001A18DE" w:rsidP="00B47AD3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656C8ED" w14:textId="77777777" w:rsidR="00491560" w:rsidRPr="00BF25A1" w:rsidRDefault="006B2EA2" w:rsidP="00B47AD3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w zależności od badania wykonanego przy kwalifikacji;</w:t>
            </w:r>
          </w:p>
          <w:p w14:paraId="7A671645" w14:textId="77777777" w:rsidR="00491560" w:rsidRPr="005D2A3D" w:rsidRDefault="006B2EA2" w:rsidP="00B47AD3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cena aktywności aminotransferaz w surowicy co dwa tygodnie przez pierwsze trzy miesiące 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następnie co miesiąc;</w:t>
            </w:r>
          </w:p>
          <w:p w14:paraId="5FCE3DBD" w14:textId="77777777" w:rsidR="00491560" w:rsidRPr="00F02EB5" w:rsidRDefault="006B2EA2" w:rsidP="00B47AD3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nne badania w zależności od sytuacji 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klinicznej;</w:t>
            </w:r>
          </w:p>
          <w:p w14:paraId="0623726D" w14:textId="77777777" w:rsidR="00491560" w:rsidRPr="005D2A3D" w:rsidRDefault="006B2EA2" w:rsidP="00B47AD3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3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po 6 miesiącach od włączenia do programu lub w przypadku stwierdzenia progresji klinicznej, na podstawie kryteriów zawartych w kryteriach progresji.</w:t>
            </w:r>
          </w:p>
          <w:p w14:paraId="18E96F41" w14:textId="77777777" w:rsidR="00491560" w:rsidRPr="005D2A3D" w:rsidRDefault="00491560" w:rsidP="00B47AD3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enzalutamidem</w:t>
            </w:r>
          </w:p>
          <w:p w14:paraId="4E5DD82B" w14:textId="77777777" w:rsidR="00491560" w:rsidRPr="005D2A3D" w:rsidRDefault="00491560" w:rsidP="00B47AD3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1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 przy kwalifikacji</w:t>
            </w:r>
          </w:p>
          <w:p w14:paraId="013AD55F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 potwierdzenie rozpoznania raka gruczołu krokowego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491858A1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aktywności AlAT, AspAT i stężenia bilirubiny w surowicy, albumin, INR, oznaczenie stężenia wapnia w surowicy;</w:t>
            </w:r>
          </w:p>
          <w:p w14:paraId="460CFE64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kreatyniny;</w:t>
            </w:r>
          </w:p>
          <w:p w14:paraId="7B8828D4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testosteronu;</w:t>
            </w:r>
          </w:p>
          <w:p w14:paraId="31933970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PSA;</w:t>
            </w:r>
          </w:p>
          <w:p w14:paraId="780F513B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scyntygrafia kośćca (jeżeli nie była wykonywana w ciągu ostatnich 6 miesięcy);</w:t>
            </w:r>
          </w:p>
          <w:p w14:paraId="7EAC3293" w14:textId="77777777" w:rsidR="00491560" w:rsidRPr="005D2A3D" w:rsidRDefault="00491560" w:rsidP="00B47AD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badania obrazowe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(tomografia komputerowa lub rezonans magnetyczny)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: klatki piersiowej, jamy brzusznej i miednicy. </w:t>
            </w:r>
          </w:p>
          <w:p w14:paraId="2F1D3235" w14:textId="77777777" w:rsidR="00491560" w:rsidRPr="005D2A3D" w:rsidRDefault="00491560" w:rsidP="00B47AD3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1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0E1BD806" w14:textId="77777777" w:rsidR="00491560" w:rsidRPr="005D2A3D" w:rsidRDefault="00491560" w:rsidP="00B47AD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ocena stanu klinicznego;</w:t>
            </w:r>
          </w:p>
          <w:p w14:paraId="5D3B1D91" w14:textId="77777777" w:rsidR="00491560" w:rsidRPr="005D2A3D" w:rsidRDefault="00491560" w:rsidP="00B47AD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badanie poziomu testosteronu co 3 miesiące;</w:t>
            </w:r>
          </w:p>
          <w:p w14:paraId="3FEA3724" w14:textId="77777777" w:rsidR="00491560" w:rsidRPr="005D2A3D" w:rsidRDefault="00491560" w:rsidP="00B47AD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dni;</w:t>
            </w:r>
          </w:p>
          <w:p w14:paraId="17523666" w14:textId="77777777" w:rsidR="00491560" w:rsidRPr="005D2A3D" w:rsidRDefault="00491560" w:rsidP="00B47AD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scyntygrafia nie rzadziej niż co 6 miesięcy lub w przypadku wskazań klinicznych (w przypadku podejrzenia progresji w postaci nowych ognisk stwierdzanych w pierwszym badaniu w trakcie leczenia konieczne jest 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 xml:space="preserve">wykonanie badania kontrolnego po kolejnych </w:t>
            </w:r>
            <w:r w:rsidRPr="005D2A3D">
              <w:rPr>
                <w:rFonts w:ascii="Times New Roman" w:eastAsia="SimSun" w:hAnsi="Times New Roman" w:cs="Times New Roman" w:hint="eastAsia"/>
                <w:bCs/>
                <w:sz w:val="20"/>
                <w:szCs w:val="20"/>
                <w:lang w:eastAsia="zh-CN"/>
              </w:rPr>
              <w:t>≥</w:t>
            </w:r>
            <w:r w:rsidRPr="005D2A3D">
              <w:rPr>
                <w:rFonts w:ascii="Times New Roman" w:eastAsia="SimSun" w:hAnsi="Times New Roman" w:cs="Times New Roman" w:hint="eastAsia"/>
                <w:bCs/>
                <w:sz w:val="20"/>
                <w:szCs w:val="20"/>
                <w:lang w:eastAsia="zh-CN"/>
              </w:rPr>
              <w:t>6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tygodniach);</w:t>
            </w:r>
          </w:p>
          <w:p w14:paraId="47FDA41F" w14:textId="77777777" w:rsidR="00491560" w:rsidRPr="005D2A3D" w:rsidRDefault="00491560" w:rsidP="00B47AD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360" w:line="240" w:lineRule="auto"/>
              <w:ind w:left="493" w:hanging="425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inne badania w zależności od sytuacji klinicznej i wyjściowej lokalizacji przerzutów, badania oceniające odpowiedź wg RECIST (z wyjątkiem scyntygrafii kości) powinny być wykonywane nie rzadziej niż co 3</w:t>
            </w:r>
            <w:r w:rsidR="002729F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 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miesiące.</w:t>
            </w:r>
          </w:p>
          <w:p w14:paraId="688E1486" w14:textId="77777777" w:rsidR="00491560" w:rsidRPr="005D2A3D" w:rsidRDefault="00491560" w:rsidP="00B47AD3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dichlorkiem radu Ra-223</w:t>
            </w:r>
          </w:p>
          <w:p w14:paraId="2DB63BA9" w14:textId="77777777" w:rsidR="00491560" w:rsidRPr="005D2A3D" w:rsidRDefault="00491560" w:rsidP="00B47AD3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Badania przy kwalifikacji </w:t>
            </w:r>
          </w:p>
          <w:p w14:paraId="431B9A36" w14:textId="77777777" w:rsidR="00491560" w:rsidRPr="005D2A3D" w:rsidRDefault="006B2EA2" w:rsidP="00B47AD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adania laboratoryjne wykonuje się maksymalnie na 2 tygodnie przed kwalifikacją do programu, badania obrazowe (z wyjątkiem scyntygrafii) na 2 miesiące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przed kwalifikacją do programu, scyntygrafię wykonuje się maksymalnie na 3 miesiące przed kwalifikacją pacjenta do programu.</w:t>
            </w:r>
          </w:p>
          <w:p w14:paraId="14F7DEF7" w14:textId="77777777" w:rsidR="00491560" w:rsidRPr="005D2A3D" w:rsidRDefault="006B2EA2" w:rsidP="00B47AD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kwalifikacji pacjenta do programu wykonuje się następujące badania:</w:t>
            </w:r>
          </w:p>
          <w:p w14:paraId="043158F0" w14:textId="77777777" w:rsidR="00491560" w:rsidRPr="00BF25A1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742DB34B" w14:textId="77777777" w:rsidR="00491560" w:rsidRPr="00BF25A1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84448B9" w14:textId="77777777" w:rsidR="00491560" w:rsidRPr="00BF25A1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stężenia: bilirubiny, kreatyniny, fosfatazy alkalicznej, testosteronu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0EA69A15" w14:textId="77777777" w:rsidR="00491560" w:rsidRPr="00BF25A1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(AspAT, AlAT)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2871C5F0" w14:textId="77777777" w:rsidR="00491560" w:rsidRPr="00BF25A1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kości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2FC34568" w14:textId="77777777" w:rsidR="00491560" w:rsidRPr="00BF25A1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714A699D" w14:textId="77777777" w:rsidR="00491560" w:rsidRPr="005D2A3D" w:rsidRDefault="00491560" w:rsidP="00B47AD3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 lub tomografia komputerowa klatki piersiowej.</w:t>
            </w:r>
          </w:p>
          <w:p w14:paraId="4EC2AD23" w14:textId="77777777" w:rsidR="00491560" w:rsidRPr="005D2A3D" w:rsidRDefault="00491560" w:rsidP="00B47AD3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1D78F05C" w14:textId="77777777" w:rsidR="00491560" w:rsidRPr="005D2A3D" w:rsidRDefault="006B2EA2" w:rsidP="00B47AD3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monitorowania leczenia w programie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każdorazowo przed podaniem kolejnej dawki leku 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 się następujące badania:</w:t>
            </w:r>
          </w:p>
          <w:p w14:paraId="43A9A854" w14:textId="77777777" w:rsidR="00491560" w:rsidRPr="005D2A3D" w:rsidRDefault="00491560" w:rsidP="00B47AD3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rozmazem,</w:t>
            </w:r>
          </w:p>
          <w:p w14:paraId="5EAB6D1D" w14:textId="77777777" w:rsidR="00491560" w:rsidRPr="005D2A3D" w:rsidRDefault="00491560" w:rsidP="00B47AD3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w surowicy stężenia bilirubiny, kreatyniny, fosfatazy alkalicznej, </w:t>
            </w:r>
          </w:p>
          <w:p w14:paraId="7185E020" w14:textId="77777777" w:rsidR="00491560" w:rsidRPr="005D2A3D" w:rsidRDefault="00491560" w:rsidP="00B47AD3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(AspAT, AlAT),</w:t>
            </w:r>
          </w:p>
          <w:p w14:paraId="37F42FB9" w14:textId="77777777" w:rsidR="00491560" w:rsidRPr="001A18DE" w:rsidRDefault="001A18DE" w:rsidP="00B47AD3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A18DE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</w:t>
            </w:r>
            <w:r w:rsidR="006B2EA2" w:rsidRPr="001A18D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DD7AF0A" w14:textId="77777777" w:rsidR="00491560" w:rsidRPr="00BF25A1" w:rsidRDefault="006B2EA2" w:rsidP="00B47AD3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 zakończeniu leczenia w programie, w okresie 4-8 tygodni od momentu podania ostatniej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 leku, jednorazowo wykonuje się badania określone w pkt 1)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662DC83" w14:textId="77777777" w:rsidR="00491560" w:rsidRPr="005D2A3D" w:rsidRDefault="006B2EA2" w:rsidP="00B47AD3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razie wskazań kl</w:t>
            </w:r>
            <w:r w:rsidR="00FF0F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inicznych, zgodnie z 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decyzją lekarza prowadzącego.</w:t>
            </w:r>
          </w:p>
          <w:p w14:paraId="59B26B2D" w14:textId="77777777" w:rsidR="00491560" w:rsidRPr="005D2A3D" w:rsidRDefault="00491560" w:rsidP="00B47AD3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programu</w:t>
            </w:r>
          </w:p>
          <w:p w14:paraId="2CC6722B" w14:textId="77777777" w:rsidR="00491560" w:rsidRPr="005D2A3D" w:rsidRDefault="00667A99" w:rsidP="00B47AD3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romadzenie w dokumentacji medycznej pacjenta danych dotyczących monitorowania leczeni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 i każdorazowe ich przedstawianie na żądanie kontrolerów  Narodowego Funduszu Zdrowia;</w:t>
            </w:r>
          </w:p>
          <w:p w14:paraId="5416A6C6" w14:textId="77777777" w:rsidR="00491560" w:rsidRPr="005D2A3D" w:rsidRDefault="00667A99" w:rsidP="00B47AD3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zupełnianie danych zawartych w rejestrze (SMPT) dostępnym za pomocą aplikacji internetowej udostępnionej przez OW NFZ, z częstotliwością zgodną z opisem programu oraz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zakończenie leczenia;</w:t>
            </w:r>
          </w:p>
          <w:p w14:paraId="0408DAE4" w14:textId="77777777" w:rsidR="00491560" w:rsidRPr="005D2A3D" w:rsidRDefault="00667A99" w:rsidP="00B47AD3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4A378F2A" w14:textId="77777777" w:rsidR="00A06AAE" w:rsidRPr="00A067A1" w:rsidRDefault="00A06AAE" w:rsidP="00B47AD3">
      <w:pPr>
        <w:jc w:val="both"/>
        <w:rPr>
          <w:sz w:val="10"/>
        </w:rPr>
      </w:pPr>
    </w:p>
    <w:sectPr w:rsidR="00A06AAE" w:rsidRPr="00A067A1" w:rsidSect="001C15A6">
      <w:pgSz w:w="16838" w:h="11906" w:orient="landscape" w:code="9"/>
      <w:pgMar w:top="1276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9E91E9" w16cid:durableId="1FB151D3"/>
  <w16cid:commentId w16cid:paraId="0B06A02D" w16cid:durableId="1FB14F5A"/>
  <w16cid:commentId w16cid:paraId="18DDBA43" w16cid:durableId="1FB15243"/>
  <w16cid:commentId w16cid:paraId="34C40490" w16cid:durableId="1FB14F5B"/>
  <w16cid:commentId w16cid:paraId="2BF0364F" w16cid:durableId="1FB152F7"/>
  <w16cid:commentId w16cid:paraId="59964564" w16cid:durableId="1FB14F5C"/>
  <w16cid:commentId w16cid:paraId="34AB139B" w16cid:durableId="1FB15423"/>
  <w16cid:commentId w16cid:paraId="434EEB03" w16cid:durableId="1FB14F5D"/>
  <w16cid:commentId w16cid:paraId="4EA37775" w16cid:durableId="1FB155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7717B" w14:textId="77777777" w:rsidR="00531567" w:rsidRDefault="00531567">
      <w:pPr>
        <w:spacing w:after="0" w:line="240" w:lineRule="auto"/>
      </w:pPr>
      <w:r>
        <w:separator/>
      </w:r>
    </w:p>
  </w:endnote>
  <w:endnote w:type="continuationSeparator" w:id="0">
    <w:p w14:paraId="47663A4E" w14:textId="77777777" w:rsidR="00531567" w:rsidRDefault="0053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915A3" w14:textId="77777777" w:rsidR="00531567" w:rsidRDefault="00531567">
      <w:pPr>
        <w:spacing w:after="0" w:line="240" w:lineRule="auto"/>
      </w:pPr>
      <w:r>
        <w:separator/>
      </w:r>
    </w:p>
  </w:footnote>
  <w:footnote w:type="continuationSeparator" w:id="0">
    <w:p w14:paraId="3CF9DFE0" w14:textId="77777777" w:rsidR="00531567" w:rsidRDefault="00531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FCD"/>
    <w:multiLevelType w:val="multilevel"/>
    <w:tmpl w:val="1C509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DF24AC"/>
    <w:multiLevelType w:val="hybridMultilevel"/>
    <w:tmpl w:val="1D76B05A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2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295980"/>
    <w:multiLevelType w:val="hybridMultilevel"/>
    <w:tmpl w:val="04BAA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3B0ECB"/>
    <w:multiLevelType w:val="hybridMultilevel"/>
    <w:tmpl w:val="854AE1D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3D14BF"/>
    <w:multiLevelType w:val="hybridMultilevel"/>
    <w:tmpl w:val="1974C8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2321B"/>
    <w:multiLevelType w:val="hybridMultilevel"/>
    <w:tmpl w:val="5CFEDF7A"/>
    <w:lvl w:ilvl="0" w:tplc="5BDA192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B57046B"/>
    <w:multiLevelType w:val="hybridMultilevel"/>
    <w:tmpl w:val="5C2ED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37D34"/>
    <w:multiLevelType w:val="multilevel"/>
    <w:tmpl w:val="2D22D9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C2B590D"/>
    <w:multiLevelType w:val="hybridMultilevel"/>
    <w:tmpl w:val="41C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F1FFE"/>
    <w:multiLevelType w:val="hybridMultilevel"/>
    <w:tmpl w:val="FAAA0E8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E1151A"/>
    <w:multiLevelType w:val="hybridMultilevel"/>
    <w:tmpl w:val="F5FED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613E"/>
    <w:multiLevelType w:val="hybridMultilevel"/>
    <w:tmpl w:val="947E111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E226C0"/>
    <w:multiLevelType w:val="hybridMultilevel"/>
    <w:tmpl w:val="A610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05D5D"/>
    <w:multiLevelType w:val="multilevel"/>
    <w:tmpl w:val="FD8EEDF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11" w:hanging="360"/>
      </w:pPr>
    </w:lvl>
    <w:lvl w:ilvl="2">
      <w:start w:val="1"/>
      <w:numFmt w:val="decimal"/>
      <w:lvlText w:val="%1.%2.%3"/>
      <w:lvlJc w:val="left"/>
      <w:pPr>
        <w:ind w:left="1422" w:hanging="720"/>
      </w:pPr>
    </w:lvl>
    <w:lvl w:ilvl="3">
      <w:start w:val="1"/>
      <w:numFmt w:val="decimal"/>
      <w:lvlText w:val="%1.%2.%3.%4"/>
      <w:lvlJc w:val="left"/>
      <w:pPr>
        <w:ind w:left="1773" w:hanging="720"/>
      </w:pPr>
    </w:lvl>
    <w:lvl w:ilvl="4">
      <w:start w:val="1"/>
      <w:numFmt w:val="decimal"/>
      <w:lvlText w:val="%1.%2.%3.%4.%5"/>
      <w:lvlJc w:val="left"/>
      <w:pPr>
        <w:ind w:left="2124" w:hanging="720"/>
      </w:pPr>
    </w:lvl>
    <w:lvl w:ilvl="5">
      <w:start w:val="1"/>
      <w:numFmt w:val="decimal"/>
      <w:lvlText w:val="%1.%2.%3.%4.%5.%6"/>
      <w:lvlJc w:val="left"/>
      <w:pPr>
        <w:ind w:left="2835" w:hanging="1080"/>
      </w:pPr>
    </w:lvl>
    <w:lvl w:ilvl="6">
      <w:start w:val="1"/>
      <w:numFmt w:val="decimal"/>
      <w:lvlText w:val="%1.%2.%3.%4.%5.%6.%7"/>
      <w:lvlJc w:val="left"/>
      <w:pPr>
        <w:ind w:left="3186" w:hanging="1080"/>
      </w:pPr>
    </w:lvl>
    <w:lvl w:ilvl="7">
      <w:start w:val="1"/>
      <w:numFmt w:val="decimal"/>
      <w:lvlText w:val="%1.%2.%3.%4.%5.%6.%7.%8"/>
      <w:lvlJc w:val="left"/>
      <w:pPr>
        <w:ind w:left="3897" w:hanging="1440"/>
      </w:pPr>
    </w:lvl>
    <w:lvl w:ilvl="8">
      <w:start w:val="1"/>
      <w:numFmt w:val="decimal"/>
      <w:lvlText w:val="%1.%2.%3.%4.%5.%6.%7.%8.%9"/>
      <w:lvlJc w:val="left"/>
      <w:pPr>
        <w:ind w:left="4248" w:hanging="1440"/>
      </w:pPr>
    </w:lvl>
  </w:abstractNum>
  <w:abstractNum w:abstractNumId="15" w15:restartNumberingAfterBreak="0">
    <w:nsid w:val="2F9943C8"/>
    <w:multiLevelType w:val="hybridMultilevel"/>
    <w:tmpl w:val="8580DF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952EE"/>
    <w:multiLevelType w:val="multilevel"/>
    <w:tmpl w:val="98322D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16" w:hanging="360"/>
      </w:pPr>
    </w:lvl>
    <w:lvl w:ilvl="2">
      <w:start w:val="1"/>
      <w:numFmt w:val="decimal"/>
      <w:lvlText w:val="%1.%2.%3."/>
      <w:lvlJc w:val="left"/>
      <w:pPr>
        <w:ind w:left="632" w:hanging="720"/>
      </w:pPr>
    </w:lvl>
    <w:lvl w:ilvl="3">
      <w:start w:val="1"/>
      <w:numFmt w:val="decimal"/>
      <w:lvlText w:val="%1.%2.%3.%4."/>
      <w:lvlJc w:val="left"/>
      <w:pPr>
        <w:ind w:left="588" w:hanging="720"/>
      </w:pPr>
    </w:lvl>
    <w:lvl w:ilvl="4">
      <w:start w:val="1"/>
      <w:numFmt w:val="decimal"/>
      <w:lvlText w:val="%1.%2.%3.%4.%5."/>
      <w:lvlJc w:val="left"/>
      <w:pPr>
        <w:ind w:left="904" w:hanging="1080"/>
      </w:pPr>
    </w:lvl>
    <w:lvl w:ilvl="5">
      <w:start w:val="1"/>
      <w:numFmt w:val="decimal"/>
      <w:lvlText w:val="%1.%2.%3.%4.%5.%6."/>
      <w:lvlJc w:val="left"/>
      <w:pPr>
        <w:ind w:left="860" w:hanging="1080"/>
      </w:pPr>
    </w:lvl>
    <w:lvl w:ilvl="6">
      <w:start w:val="1"/>
      <w:numFmt w:val="decimal"/>
      <w:lvlText w:val="%1.%2.%3.%4.%5.%6.%7."/>
      <w:lvlJc w:val="left"/>
      <w:pPr>
        <w:ind w:left="1176" w:hanging="1440"/>
      </w:pPr>
    </w:lvl>
    <w:lvl w:ilvl="7">
      <w:start w:val="1"/>
      <w:numFmt w:val="decimal"/>
      <w:lvlText w:val="%1.%2.%3.%4.%5.%6.%7.%8."/>
      <w:lvlJc w:val="left"/>
      <w:pPr>
        <w:ind w:left="1132" w:hanging="1440"/>
      </w:pPr>
    </w:lvl>
    <w:lvl w:ilvl="8">
      <w:start w:val="1"/>
      <w:numFmt w:val="decimal"/>
      <w:lvlText w:val="%1.%2.%3.%4.%5.%6.%7.%8.%9."/>
      <w:lvlJc w:val="left"/>
      <w:pPr>
        <w:ind w:left="1448" w:hanging="1800"/>
      </w:pPr>
    </w:lvl>
  </w:abstractNum>
  <w:abstractNum w:abstractNumId="17" w15:restartNumberingAfterBreak="0">
    <w:nsid w:val="334771FC"/>
    <w:multiLevelType w:val="hybridMultilevel"/>
    <w:tmpl w:val="A784E5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BF84B36">
      <w:start w:val="1"/>
      <w:numFmt w:val="decimal"/>
      <w:lvlText w:val="%2.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04344D"/>
    <w:multiLevelType w:val="hybridMultilevel"/>
    <w:tmpl w:val="3BD47C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F06DAC"/>
    <w:multiLevelType w:val="hybridMultilevel"/>
    <w:tmpl w:val="D85A8F50"/>
    <w:lvl w:ilvl="0" w:tplc="EC60CD76">
      <w:start w:val="1"/>
      <w:numFmt w:val="decimal"/>
      <w:lvlText w:val="%1)"/>
      <w:lvlJc w:val="left"/>
      <w:pPr>
        <w:ind w:left="720" w:hanging="360"/>
      </w:pPr>
      <w:rPr>
        <w:color w:val="00000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07410"/>
    <w:multiLevelType w:val="hybridMultilevel"/>
    <w:tmpl w:val="1B82BF3E"/>
    <w:lvl w:ilvl="0" w:tplc="C35E9C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FC1070D"/>
    <w:multiLevelType w:val="multilevel"/>
    <w:tmpl w:val="F6E08D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2C9597A"/>
    <w:multiLevelType w:val="hybridMultilevel"/>
    <w:tmpl w:val="442CD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C22523"/>
    <w:multiLevelType w:val="hybridMultilevel"/>
    <w:tmpl w:val="0B80A7C0"/>
    <w:lvl w:ilvl="0" w:tplc="2260478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A20AF"/>
    <w:multiLevelType w:val="hybridMultilevel"/>
    <w:tmpl w:val="02967C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B511A94"/>
    <w:multiLevelType w:val="hybridMultilevel"/>
    <w:tmpl w:val="6C22B0DE"/>
    <w:lvl w:ilvl="0" w:tplc="1792838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EB71922"/>
    <w:multiLevelType w:val="hybridMultilevel"/>
    <w:tmpl w:val="8BC8F340"/>
    <w:lvl w:ilvl="0" w:tplc="76F4DDB8">
      <w:start w:val="1"/>
      <w:numFmt w:val="lowerLetter"/>
      <w:lvlText w:val="%1)"/>
      <w:lvlJc w:val="left"/>
      <w:pPr>
        <w:ind w:left="12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51544138"/>
    <w:multiLevelType w:val="hybridMultilevel"/>
    <w:tmpl w:val="9A78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73984"/>
    <w:multiLevelType w:val="multilevel"/>
    <w:tmpl w:val="EAF8ECBA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8341483"/>
    <w:multiLevelType w:val="multilevel"/>
    <w:tmpl w:val="65D411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30" w15:restartNumberingAfterBreak="0">
    <w:nsid w:val="5C544035"/>
    <w:multiLevelType w:val="hybridMultilevel"/>
    <w:tmpl w:val="070C9734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74B21"/>
    <w:multiLevelType w:val="hybridMultilevel"/>
    <w:tmpl w:val="CB82CC2E"/>
    <w:lvl w:ilvl="0" w:tplc="4DCE3F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53A3E71"/>
    <w:multiLevelType w:val="hybridMultilevel"/>
    <w:tmpl w:val="578044A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8C00B6"/>
    <w:multiLevelType w:val="multilevel"/>
    <w:tmpl w:val="3106307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9F4796C"/>
    <w:multiLevelType w:val="hybridMultilevel"/>
    <w:tmpl w:val="FCF83DFE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4D735C"/>
    <w:multiLevelType w:val="hybridMultilevel"/>
    <w:tmpl w:val="6CBCE4C6"/>
    <w:lvl w:ilvl="0" w:tplc="CB66A910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E7008A4"/>
    <w:multiLevelType w:val="hybridMultilevel"/>
    <w:tmpl w:val="8806C488"/>
    <w:lvl w:ilvl="0" w:tplc="23B2B30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019D2"/>
    <w:multiLevelType w:val="multilevel"/>
    <w:tmpl w:val="A3DCBB6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</w:rPr>
    </w:lvl>
  </w:abstractNum>
  <w:abstractNum w:abstractNumId="38" w15:restartNumberingAfterBreak="0">
    <w:nsid w:val="75631AD0"/>
    <w:multiLevelType w:val="hybridMultilevel"/>
    <w:tmpl w:val="CB4258FE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1186C"/>
    <w:multiLevelType w:val="hybridMultilevel"/>
    <w:tmpl w:val="2F5433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30AB33E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8A5685"/>
    <w:multiLevelType w:val="hybridMultilevel"/>
    <w:tmpl w:val="5E044972"/>
    <w:lvl w:ilvl="0" w:tplc="A1C8E78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A41723C"/>
    <w:multiLevelType w:val="hybridMultilevel"/>
    <w:tmpl w:val="6276BF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71765A"/>
    <w:multiLevelType w:val="multilevel"/>
    <w:tmpl w:val="70561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41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60"/>
    <w:rsid w:val="00065870"/>
    <w:rsid w:val="000871A6"/>
    <w:rsid w:val="000968B7"/>
    <w:rsid w:val="0012787C"/>
    <w:rsid w:val="00150FCF"/>
    <w:rsid w:val="001A18DE"/>
    <w:rsid w:val="001C15A6"/>
    <w:rsid w:val="001C3932"/>
    <w:rsid w:val="00200550"/>
    <w:rsid w:val="00243D79"/>
    <w:rsid w:val="00245C46"/>
    <w:rsid w:val="002467A0"/>
    <w:rsid w:val="002729FF"/>
    <w:rsid w:val="002D614C"/>
    <w:rsid w:val="002F2036"/>
    <w:rsid w:val="002F5FEE"/>
    <w:rsid w:val="0036594A"/>
    <w:rsid w:val="00371D5F"/>
    <w:rsid w:val="003771C8"/>
    <w:rsid w:val="003A3748"/>
    <w:rsid w:val="003B0CEA"/>
    <w:rsid w:val="003D6615"/>
    <w:rsid w:val="003E4FF6"/>
    <w:rsid w:val="003E526F"/>
    <w:rsid w:val="00406378"/>
    <w:rsid w:val="004444A6"/>
    <w:rsid w:val="00473521"/>
    <w:rsid w:val="00474B9F"/>
    <w:rsid w:val="00491560"/>
    <w:rsid w:val="004A2684"/>
    <w:rsid w:val="004C1FAA"/>
    <w:rsid w:val="004E0F5E"/>
    <w:rsid w:val="004E7A70"/>
    <w:rsid w:val="004F113C"/>
    <w:rsid w:val="004F6FC4"/>
    <w:rsid w:val="00531567"/>
    <w:rsid w:val="005B6CC0"/>
    <w:rsid w:val="005C650C"/>
    <w:rsid w:val="005D2A3D"/>
    <w:rsid w:val="005D6468"/>
    <w:rsid w:val="00601C1F"/>
    <w:rsid w:val="00612863"/>
    <w:rsid w:val="0061407D"/>
    <w:rsid w:val="00667A99"/>
    <w:rsid w:val="00694B30"/>
    <w:rsid w:val="006A2F7B"/>
    <w:rsid w:val="006A73A6"/>
    <w:rsid w:val="006B095F"/>
    <w:rsid w:val="006B2EA2"/>
    <w:rsid w:val="0070006B"/>
    <w:rsid w:val="007309B3"/>
    <w:rsid w:val="00774BBF"/>
    <w:rsid w:val="0079031E"/>
    <w:rsid w:val="007A3CB3"/>
    <w:rsid w:val="007D6E02"/>
    <w:rsid w:val="008121D5"/>
    <w:rsid w:val="008765FC"/>
    <w:rsid w:val="0089429B"/>
    <w:rsid w:val="008B6DAC"/>
    <w:rsid w:val="008F4A85"/>
    <w:rsid w:val="00902275"/>
    <w:rsid w:val="00923BB8"/>
    <w:rsid w:val="00926142"/>
    <w:rsid w:val="00926450"/>
    <w:rsid w:val="009371FC"/>
    <w:rsid w:val="0095398C"/>
    <w:rsid w:val="009F4402"/>
    <w:rsid w:val="009F5AF9"/>
    <w:rsid w:val="00A067A1"/>
    <w:rsid w:val="00A06AAE"/>
    <w:rsid w:val="00A17720"/>
    <w:rsid w:val="00A45630"/>
    <w:rsid w:val="00A5546E"/>
    <w:rsid w:val="00A67592"/>
    <w:rsid w:val="00A80653"/>
    <w:rsid w:val="00B17670"/>
    <w:rsid w:val="00B2245C"/>
    <w:rsid w:val="00B24952"/>
    <w:rsid w:val="00B47AD3"/>
    <w:rsid w:val="00B53AA1"/>
    <w:rsid w:val="00B845E7"/>
    <w:rsid w:val="00BC0503"/>
    <w:rsid w:val="00BC5824"/>
    <w:rsid w:val="00BF25A1"/>
    <w:rsid w:val="00C00CDC"/>
    <w:rsid w:val="00C42E0B"/>
    <w:rsid w:val="00CD3CB7"/>
    <w:rsid w:val="00D53AC4"/>
    <w:rsid w:val="00DA2F4B"/>
    <w:rsid w:val="00DB56D8"/>
    <w:rsid w:val="00DD5AB4"/>
    <w:rsid w:val="00E0612F"/>
    <w:rsid w:val="00E84730"/>
    <w:rsid w:val="00E95ADB"/>
    <w:rsid w:val="00EA25B1"/>
    <w:rsid w:val="00EE303D"/>
    <w:rsid w:val="00F02EB5"/>
    <w:rsid w:val="00F16E5A"/>
    <w:rsid w:val="00F3033B"/>
    <w:rsid w:val="00F935CF"/>
    <w:rsid w:val="00FD400C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09E8"/>
  <w15:docId w15:val="{E607CF0D-C857-4422-9D7C-A4EFBEFB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A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3678</Words>
  <Characters>22072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Buras Magda</cp:lastModifiedBy>
  <cp:revision>4</cp:revision>
  <cp:lastPrinted>2018-11-27T09:58:00Z</cp:lastPrinted>
  <dcterms:created xsi:type="dcterms:W3CDTF">2018-12-07T07:56:00Z</dcterms:created>
  <dcterms:modified xsi:type="dcterms:W3CDTF">2018-12-07T08:23:00Z</dcterms:modified>
</cp:coreProperties>
</file>